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4E17" w14:textId="4B4B46ED" w:rsidR="00AB1E66" w:rsidRPr="008B602B" w:rsidRDefault="2654E64A" w:rsidP="2654E64A">
      <w:pPr>
        <w:rPr>
          <w:rFonts w:ascii="Arial" w:hAnsi="Arial" w:cs="Arial"/>
          <w:b/>
          <w:bCs/>
          <w:color w:val="1A206D"/>
          <w:sz w:val="28"/>
          <w:szCs w:val="28"/>
        </w:rPr>
      </w:pPr>
      <w:r>
        <w:rPr>
          <w:noProof/>
        </w:rPr>
        <w:drawing>
          <wp:inline distT="0" distB="0" distL="0" distR="0" wp14:anchorId="7B265A69" wp14:editId="41118777">
            <wp:extent cx="4051300" cy="1688042"/>
            <wp:effectExtent l="0" t="0" r="0" b="0"/>
            <wp:docPr id="709875925" name="Picture 70987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5599" cy="1714833"/>
                    </a:xfrm>
                    <a:prstGeom prst="rect">
                      <a:avLst/>
                    </a:prstGeom>
                  </pic:spPr>
                </pic:pic>
              </a:graphicData>
            </a:graphic>
          </wp:inline>
        </w:drawing>
      </w:r>
    </w:p>
    <w:p w14:paraId="3AA8E29E" w14:textId="77777777" w:rsidR="00C72BB2" w:rsidRDefault="00C72BB2" w:rsidP="00CD3B03">
      <w:pPr>
        <w:rPr>
          <w:rFonts w:ascii="Arial" w:hAnsi="Arial" w:cs="Arial"/>
          <w:b/>
          <w:bCs/>
          <w:color w:val="1A206D"/>
          <w:sz w:val="28"/>
          <w:szCs w:val="28"/>
        </w:rPr>
      </w:pPr>
    </w:p>
    <w:p w14:paraId="049A7EFC" w14:textId="10B63F59" w:rsidR="00CD3B03" w:rsidRPr="008B602B" w:rsidRDefault="00CD3B03" w:rsidP="00CD3B03">
      <w:pPr>
        <w:rPr>
          <w:rFonts w:ascii="Arial" w:hAnsi="Arial" w:cs="Arial"/>
          <w:b/>
          <w:bCs/>
          <w:color w:val="1A206D"/>
          <w:sz w:val="28"/>
          <w:szCs w:val="28"/>
        </w:rPr>
      </w:pPr>
      <w:r w:rsidRPr="008B602B">
        <w:rPr>
          <w:rFonts w:ascii="Arial" w:hAnsi="Arial" w:cs="Arial"/>
          <w:b/>
          <w:bCs/>
          <w:color w:val="1A206D"/>
          <w:sz w:val="28"/>
          <w:szCs w:val="28"/>
        </w:rPr>
        <w:t>Policy document – our processing of special categories</w:t>
      </w:r>
      <w:r w:rsidR="00112A3A" w:rsidRPr="008B602B">
        <w:rPr>
          <w:rFonts w:ascii="Arial" w:hAnsi="Arial" w:cs="Arial"/>
          <w:b/>
          <w:bCs/>
          <w:color w:val="1A206D"/>
          <w:sz w:val="28"/>
          <w:szCs w:val="28"/>
        </w:rPr>
        <w:t xml:space="preserve"> and criminal offence</w:t>
      </w:r>
      <w:r w:rsidRPr="008B602B">
        <w:rPr>
          <w:rFonts w:ascii="Arial" w:hAnsi="Arial" w:cs="Arial"/>
          <w:b/>
          <w:bCs/>
          <w:color w:val="1A206D"/>
          <w:sz w:val="28"/>
          <w:szCs w:val="28"/>
        </w:rPr>
        <w:t xml:space="preserve"> data </w:t>
      </w:r>
    </w:p>
    <w:p w14:paraId="7421884A" w14:textId="77777777" w:rsidR="00984251" w:rsidRPr="00D07FC6" w:rsidRDefault="00984251" w:rsidP="00CD3B03">
      <w:pPr>
        <w:rPr>
          <w:rFonts w:ascii="Arial" w:hAnsi="Arial" w:cs="Arial"/>
          <w:b/>
          <w:bCs/>
          <w:sz w:val="24"/>
          <w:szCs w:val="24"/>
        </w:rPr>
      </w:pPr>
    </w:p>
    <w:p w14:paraId="36064185" w14:textId="5186E56F" w:rsidR="00CD3B03" w:rsidRPr="00D07FC6" w:rsidRDefault="00984251" w:rsidP="00CD3B03">
      <w:pPr>
        <w:rPr>
          <w:rFonts w:ascii="Arial" w:hAnsi="Arial" w:cs="Arial"/>
          <w:b/>
          <w:bCs/>
          <w:sz w:val="24"/>
          <w:szCs w:val="24"/>
        </w:rPr>
      </w:pPr>
      <w:r w:rsidRPr="008B602B">
        <w:rPr>
          <w:rFonts w:ascii="Arial" w:hAnsi="Arial" w:cs="Arial"/>
          <w:b/>
          <w:bCs/>
          <w:color w:val="1A206D"/>
          <w:sz w:val="28"/>
          <w:szCs w:val="28"/>
        </w:rPr>
        <w:t>Purpose of this policy document</w:t>
      </w:r>
      <w:r w:rsidR="00CD3B03" w:rsidRPr="00D07FC6">
        <w:rPr>
          <w:rFonts w:ascii="Arial" w:hAnsi="Arial" w:cs="Arial"/>
          <w:b/>
          <w:bCs/>
          <w:sz w:val="24"/>
          <w:szCs w:val="24"/>
        </w:rPr>
        <w:tab/>
      </w:r>
    </w:p>
    <w:p w14:paraId="33645DD5" w14:textId="21ECC006" w:rsidR="00AD3632" w:rsidRPr="00AD3632" w:rsidRDefault="00AD3632" w:rsidP="00AD3632">
      <w:pPr>
        <w:rPr>
          <w:rFonts w:ascii="Arial" w:hAnsi="Arial" w:cs="Arial"/>
          <w:sz w:val="24"/>
          <w:szCs w:val="24"/>
        </w:rPr>
      </w:pPr>
      <w:r w:rsidRPr="00AD3632">
        <w:rPr>
          <w:rFonts w:ascii="Arial" w:hAnsi="Arial" w:cs="Arial"/>
          <w:sz w:val="24"/>
          <w:szCs w:val="24"/>
        </w:rPr>
        <w:t>The Data Protection Act 2018 (</w:t>
      </w:r>
      <w:proofErr w:type="spellStart"/>
      <w:r w:rsidRPr="00AD3632">
        <w:rPr>
          <w:rFonts w:ascii="Arial" w:hAnsi="Arial" w:cs="Arial"/>
          <w:sz w:val="24"/>
          <w:szCs w:val="24"/>
        </w:rPr>
        <w:t>DPA</w:t>
      </w:r>
      <w:proofErr w:type="spellEnd"/>
      <w:r w:rsidRPr="00AD3632">
        <w:rPr>
          <w:rFonts w:ascii="Arial" w:hAnsi="Arial" w:cs="Arial"/>
          <w:sz w:val="24"/>
          <w:szCs w:val="24"/>
        </w:rPr>
        <w:t xml:space="preserve"> 2018) outlines the requirement for an Appropriate Policy Document to be in place when processing special category and criminal </w:t>
      </w:r>
      <w:r>
        <w:rPr>
          <w:rFonts w:ascii="Arial" w:hAnsi="Arial" w:cs="Arial"/>
          <w:sz w:val="24"/>
          <w:szCs w:val="24"/>
        </w:rPr>
        <w:t xml:space="preserve">offence </w:t>
      </w:r>
      <w:r w:rsidRPr="00AD3632">
        <w:rPr>
          <w:rFonts w:ascii="Arial" w:hAnsi="Arial" w:cs="Arial"/>
          <w:sz w:val="24"/>
          <w:szCs w:val="24"/>
        </w:rPr>
        <w:t xml:space="preserve">data under certain specified conditions as per </w:t>
      </w:r>
      <w:proofErr w:type="spellStart"/>
      <w:r w:rsidRPr="00AD3632">
        <w:rPr>
          <w:rFonts w:ascii="Arial" w:hAnsi="Arial" w:cs="Arial"/>
          <w:sz w:val="24"/>
          <w:szCs w:val="24"/>
        </w:rPr>
        <w:t>DPA</w:t>
      </w:r>
      <w:proofErr w:type="spellEnd"/>
      <w:r w:rsidR="00B42105">
        <w:rPr>
          <w:rFonts w:ascii="Arial" w:hAnsi="Arial" w:cs="Arial"/>
          <w:sz w:val="24"/>
          <w:szCs w:val="24"/>
        </w:rPr>
        <w:t xml:space="preserve"> 20</w:t>
      </w:r>
      <w:r w:rsidRPr="00AD3632">
        <w:rPr>
          <w:rFonts w:ascii="Arial" w:hAnsi="Arial" w:cs="Arial"/>
          <w:sz w:val="24"/>
          <w:szCs w:val="24"/>
        </w:rPr>
        <w:t>18, Schedule 1, Paragraphs 1(b) and 5.</w:t>
      </w:r>
    </w:p>
    <w:p w14:paraId="2C708574" w14:textId="2AF61927" w:rsidR="00AD3632" w:rsidRPr="00670369" w:rsidRDefault="00AD3632" w:rsidP="00670369">
      <w:pPr>
        <w:shd w:val="clear" w:color="auto" w:fill="FFFFFF"/>
        <w:spacing w:after="240" w:line="240" w:lineRule="auto"/>
        <w:rPr>
          <w:rFonts w:ascii="Arial" w:eastAsia="Times New Roman" w:hAnsi="Arial" w:cs="Arial"/>
          <w:color w:val="000000"/>
          <w:sz w:val="24"/>
          <w:szCs w:val="24"/>
          <w:lang w:eastAsia="en-GB"/>
        </w:rPr>
      </w:pPr>
      <w:r w:rsidRPr="00AD3632">
        <w:rPr>
          <w:rFonts w:ascii="Arial" w:hAnsi="Arial" w:cs="Arial"/>
          <w:sz w:val="24"/>
          <w:szCs w:val="24"/>
        </w:rPr>
        <w:t xml:space="preserve">This </w:t>
      </w:r>
      <w:r>
        <w:rPr>
          <w:rFonts w:ascii="Arial" w:hAnsi="Arial" w:cs="Arial"/>
          <w:sz w:val="24"/>
          <w:szCs w:val="24"/>
        </w:rPr>
        <w:t>document</w:t>
      </w:r>
      <w:r w:rsidRPr="00AD3632">
        <w:rPr>
          <w:rFonts w:ascii="Arial" w:hAnsi="Arial" w:cs="Arial"/>
          <w:sz w:val="24"/>
          <w:szCs w:val="24"/>
        </w:rPr>
        <w:t xml:space="preserve"> explains </w:t>
      </w:r>
      <w:r>
        <w:rPr>
          <w:rFonts w:ascii="Arial" w:hAnsi="Arial" w:cs="Arial"/>
          <w:sz w:val="24"/>
          <w:szCs w:val="24"/>
        </w:rPr>
        <w:t>how we process</w:t>
      </w:r>
      <w:r w:rsidRPr="00AD3632">
        <w:rPr>
          <w:rFonts w:ascii="Arial" w:hAnsi="Arial" w:cs="Arial"/>
          <w:sz w:val="24"/>
          <w:szCs w:val="24"/>
        </w:rPr>
        <w:t xml:space="preserve"> special category data and </w:t>
      </w:r>
      <w:r>
        <w:rPr>
          <w:rFonts w:ascii="Arial" w:hAnsi="Arial" w:cs="Arial"/>
          <w:sz w:val="24"/>
          <w:szCs w:val="24"/>
        </w:rPr>
        <w:t xml:space="preserve">how we </w:t>
      </w:r>
      <w:r w:rsidRPr="00AD3632">
        <w:rPr>
          <w:rFonts w:ascii="Arial" w:hAnsi="Arial" w:cs="Arial"/>
          <w:sz w:val="24"/>
          <w:szCs w:val="24"/>
        </w:rPr>
        <w:t>comply with these conditions alongside the requirements of the General Data Protection Regulation (GDPR) Principles (GDPR Article 5).</w:t>
      </w:r>
      <w:r w:rsidR="001931EC">
        <w:rPr>
          <w:rFonts w:ascii="Arial" w:hAnsi="Arial" w:cs="Arial"/>
          <w:sz w:val="24"/>
          <w:szCs w:val="24"/>
        </w:rPr>
        <w:t xml:space="preserve"> </w:t>
      </w:r>
    </w:p>
    <w:p w14:paraId="4A4498C3" w14:textId="77777777" w:rsidR="00D07FC6" w:rsidRPr="008B602B" w:rsidRDefault="00D07FC6" w:rsidP="00D07FC6">
      <w:pPr>
        <w:rPr>
          <w:rFonts w:ascii="Arial" w:hAnsi="Arial" w:cs="Arial"/>
          <w:b/>
          <w:bCs/>
          <w:color w:val="1A206D"/>
          <w:sz w:val="28"/>
          <w:szCs w:val="28"/>
        </w:rPr>
      </w:pPr>
      <w:r w:rsidRPr="008B602B">
        <w:rPr>
          <w:rFonts w:ascii="Arial" w:hAnsi="Arial" w:cs="Arial"/>
          <w:b/>
          <w:bCs/>
          <w:color w:val="1A206D"/>
          <w:sz w:val="28"/>
          <w:szCs w:val="28"/>
        </w:rPr>
        <w:t>Special category data</w:t>
      </w:r>
    </w:p>
    <w:p w14:paraId="44A55851" w14:textId="77777777" w:rsidR="00D07FC6" w:rsidRPr="00D07FC6" w:rsidRDefault="00D07FC6" w:rsidP="00D07FC6">
      <w:pPr>
        <w:rPr>
          <w:rFonts w:ascii="Arial" w:hAnsi="Arial" w:cs="Arial"/>
          <w:sz w:val="24"/>
          <w:szCs w:val="24"/>
        </w:rPr>
      </w:pPr>
      <w:r w:rsidRPr="00D07FC6">
        <w:rPr>
          <w:rFonts w:ascii="Arial" w:hAnsi="Arial" w:cs="Arial"/>
          <w:sz w:val="24"/>
          <w:szCs w:val="24"/>
        </w:rPr>
        <w:t>Special category data is defined at Article 9 GDPR as personal data revealing:</w:t>
      </w:r>
    </w:p>
    <w:p w14:paraId="1639EF59" w14:textId="3BBE20EA"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Racial or ethnic origin</w:t>
      </w:r>
    </w:p>
    <w:p w14:paraId="479FED97" w14:textId="080190C5"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Political opinions</w:t>
      </w:r>
    </w:p>
    <w:p w14:paraId="5D6AA5E7" w14:textId="3F1B8E4A"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Religious or philosophical beliefs</w:t>
      </w:r>
    </w:p>
    <w:p w14:paraId="5F6B65E8" w14:textId="1F2E739E"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Trade union membership</w:t>
      </w:r>
    </w:p>
    <w:p w14:paraId="36317110" w14:textId="541639DB"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Genetic data</w:t>
      </w:r>
    </w:p>
    <w:p w14:paraId="21CB4F5A" w14:textId="73B66F01"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Biometric data for the purpose of uniquely identifying a natural person</w:t>
      </w:r>
    </w:p>
    <w:p w14:paraId="0FAFEFB0" w14:textId="438C82D1"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Data concerning health</w:t>
      </w:r>
    </w:p>
    <w:p w14:paraId="6B8AEB0E" w14:textId="77777777" w:rsidR="00D07FC6" w:rsidRPr="00D07FC6" w:rsidRDefault="00D07FC6" w:rsidP="00D07FC6">
      <w:pPr>
        <w:numPr>
          <w:ilvl w:val="0"/>
          <w:numId w:val="2"/>
        </w:numPr>
        <w:rPr>
          <w:rFonts w:ascii="Arial" w:hAnsi="Arial" w:cs="Arial"/>
          <w:sz w:val="24"/>
          <w:szCs w:val="24"/>
        </w:rPr>
      </w:pPr>
      <w:r w:rsidRPr="00D07FC6">
        <w:rPr>
          <w:rFonts w:ascii="Arial" w:hAnsi="Arial" w:cs="Arial"/>
          <w:sz w:val="24"/>
          <w:szCs w:val="24"/>
        </w:rPr>
        <w:t>Data concerning a natural person’s sex life or sexual orientation.</w:t>
      </w:r>
    </w:p>
    <w:p w14:paraId="7A52A106" w14:textId="77777777" w:rsidR="00D07FC6" w:rsidRPr="008B602B" w:rsidRDefault="00D07FC6" w:rsidP="008B602B">
      <w:pPr>
        <w:rPr>
          <w:rFonts w:ascii="Arial" w:hAnsi="Arial" w:cs="Arial"/>
          <w:b/>
          <w:bCs/>
          <w:color w:val="1A206D"/>
          <w:sz w:val="28"/>
          <w:szCs w:val="28"/>
        </w:rPr>
      </w:pPr>
      <w:r w:rsidRPr="008B602B">
        <w:rPr>
          <w:rFonts w:ascii="Arial" w:hAnsi="Arial" w:cs="Arial"/>
          <w:b/>
          <w:bCs/>
          <w:color w:val="1A206D"/>
          <w:sz w:val="28"/>
          <w:szCs w:val="28"/>
        </w:rPr>
        <w:t>Criminal conviction data</w:t>
      </w:r>
    </w:p>
    <w:p w14:paraId="7949A32E" w14:textId="128F7C6D" w:rsidR="00D07FC6" w:rsidRPr="00D07FC6" w:rsidRDefault="00D07FC6" w:rsidP="00D07FC6">
      <w:pPr>
        <w:shd w:val="clear" w:color="auto" w:fill="FFFFFF"/>
        <w:spacing w:after="240" w:line="240" w:lineRule="auto"/>
        <w:rPr>
          <w:rFonts w:ascii="Arial" w:eastAsia="Times New Roman" w:hAnsi="Arial" w:cs="Arial"/>
          <w:color w:val="000000"/>
          <w:sz w:val="24"/>
          <w:szCs w:val="24"/>
          <w:lang w:eastAsia="en-GB"/>
        </w:rPr>
      </w:pPr>
      <w:r w:rsidRPr="00D07FC6">
        <w:rPr>
          <w:rFonts w:ascii="Arial" w:eastAsia="Times New Roman" w:hAnsi="Arial" w:cs="Arial"/>
          <w:color w:val="000000"/>
          <w:sz w:val="24"/>
          <w:szCs w:val="24"/>
          <w:lang w:eastAsia="en-GB"/>
        </w:rPr>
        <w:t xml:space="preserve">Article 10 GDPR covers processing in relation to criminal convictions and offences or related security measures. In addition, </w:t>
      </w:r>
      <w:r w:rsidR="00C1051E">
        <w:rPr>
          <w:rFonts w:ascii="Arial" w:eastAsia="Times New Roman" w:hAnsi="Arial" w:cs="Arial"/>
          <w:color w:val="000000"/>
          <w:sz w:val="24"/>
          <w:szCs w:val="24"/>
          <w:lang w:eastAsia="en-GB"/>
        </w:rPr>
        <w:t>Part 2</w:t>
      </w:r>
      <w:r w:rsidR="007D0D53">
        <w:rPr>
          <w:rFonts w:ascii="Arial" w:eastAsia="Times New Roman" w:hAnsi="Arial" w:cs="Arial"/>
          <w:color w:val="000000"/>
          <w:sz w:val="24"/>
          <w:szCs w:val="24"/>
          <w:lang w:eastAsia="en-GB"/>
        </w:rPr>
        <w:t>, Chapter 2, Paragra</w:t>
      </w:r>
      <w:r w:rsidR="003B4108">
        <w:rPr>
          <w:rFonts w:ascii="Arial" w:eastAsia="Times New Roman" w:hAnsi="Arial" w:cs="Arial"/>
          <w:color w:val="000000"/>
          <w:sz w:val="24"/>
          <w:szCs w:val="24"/>
          <w:lang w:eastAsia="en-GB"/>
        </w:rPr>
        <w:t>p</w:t>
      </w:r>
      <w:r w:rsidR="007D0D53">
        <w:rPr>
          <w:rFonts w:ascii="Arial" w:eastAsia="Times New Roman" w:hAnsi="Arial" w:cs="Arial"/>
          <w:color w:val="000000"/>
          <w:sz w:val="24"/>
          <w:szCs w:val="24"/>
          <w:lang w:eastAsia="en-GB"/>
        </w:rPr>
        <w:t>h</w:t>
      </w:r>
      <w:r w:rsidRPr="00D07FC6">
        <w:rPr>
          <w:rFonts w:ascii="Arial" w:eastAsia="Times New Roman" w:hAnsi="Arial" w:cs="Arial"/>
          <w:color w:val="000000"/>
          <w:sz w:val="24"/>
          <w:szCs w:val="24"/>
          <w:lang w:eastAsia="en-GB"/>
        </w:rPr>
        <w:t xml:space="preserve"> 11(2) of the </w:t>
      </w:r>
      <w:proofErr w:type="spellStart"/>
      <w:r w:rsidRPr="00D07FC6">
        <w:rPr>
          <w:rFonts w:ascii="Arial" w:eastAsia="Times New Roman" w:hAnsi="Arial" w:cs="Arial"/>
          <w:color w:val="000000"/>
          <w:sz w:val="24"/>
          <w:szCs w:val="24"/>
          <w:lang w:eastAsia="en-GB"/>
        </w:rPr>
        <w:t>DPA</w:t>
      </w:r>
      <w:proofErr w:type="spellEnd"/>
      <w:r w:rsidRPr="00D07FC6">
        <w:rPr>
          <w:rFonts w:ascii="Arial" w:eastAsia="Times New Roman" w:hAnsi="Arial" w:cs="Arial"/>
          <w:color w:val="000000"/>
          <w:sz w:val="24"/>
          <w:szCs w:val="24"/>
          <w:lang w:eastAsia="en-GB"/>
        </w:rPr>
        <w:t xml:space="preserve"> 2018 specifically confirms that this includes personal data relating to the alleged commission of offences or proceedings for an offence committed or alleged </w:t>
      </w:r>
      <w:r w:rsidRPr="00D07FC6">
        <w:rPr>
          <w:rFonts w:ascii="Arial" w:eastAsia="Times New Roman" w:hAnsi="Arial" w:cs="Arial"/>
          <w:color w:val="000000"/>
          <w:sz w:val="24"/>
          <w:szCs w:val="24"/>
          <w:lang w:eastAsia="en-GB"/>
        </w:rPr>
        <w:lastRenderedPageBreak/>
        <w:t>to have been committed, including sentencing. This is collectively referred to as ‘criminal offence data’.</w:t>
      </w:r>
    </w:p>
    <w:p w14:paraId="069E83EE" w14:textId="5872435B" w:rsidR="00380E25" w:rsidRPr="008B602B" w:rsidRDefault="00380E25" w:rsidP="008B602B">
      <w:pPr>
        <w:rPr>
          <w:rFonts w:ascii="Arial" w:hAnsi="Arial" w:cs="Arial"/>
          <w:b/>
          <w:bCs/>
          <w:color w:val="1A206D"/>
          <w:sz w:val="28"/>
          <w:szCs w:val="28"/>
        </w:rPr>
      </w:pPr>
      <w:r w:rsidRPr="008B602B">
        <w:rPr>
          <w:rFonts w:ascii="Arial" w:hAnsi="Arial" w:cs="Arial"/>
          <w:b/>
          <w:bCs/>
          <w:color w:val="1A206D"/>
          <w:sz w:val="28"/>
          <w:szCs w:val="28"/>
        </w:rPr>
        <w:t>Conditions for processing special category and criminal offence data</w:t>
      </w:r>
    </w:p>
    <w:p w14:paraId="3FC1C2A0" w14:textId="745ABF85" w:rsidR="00CD2A4A" w:rsidRDefault="00380E25" w:rsidP="00380E25">
      <w:pPr>
        <w:shd w:val="clear" w:color="auto" w:fill="FFFFFF"/>
        <w:spacing w:after="240" w:line="240" w:lineRule="auto"/>
        <w:rPr>
          <w:rFonts w:ascii="Arial" w:eastAsia="Times New Roman" w:hAnsi="Arial" w:cs="Arial"/>
          <w:color w:val="000000"/>
          <w:sz w:val="24"/>
          <w:szCs w:val="24"/>
          <w:lang w:eastAsia="en-GB"/>
        </w:rPr>
      </w:pPr>
      <w:r w:rsidRPr="00380E25">
        <w:rPr>
          <w:rFonts w:ascii="Arial" w:eastAsia="Times New Roman" w:hAnsi="Arial" w:cs="Arial"/>
          <w:color w:val="000000"/>
          <w:sz w:val="24"/>
          <w:szCs w:val="24"/>
          <w:lang w:eastAsia="en-GB"/>
        </w:rPr>
        <w:t>We process special categor</w:t>
      </w:r>
      <w:r w:rsidR="00E219C0">
        <w:rPr>
          <w:rFonts w:ascii="Arial" w:eastAsia="Times New Roman" w:hAnsi="Arial" w:cs="Arial"/>
          <w:color w:val="000000"/>
          <w:sz w:val="24"/>
          <w:szCs w:val="24"/>
          <w:lang w:eastAsia="en-GB"/>
        </w:rPr>
        <w:t xml:space="preserve">y and criminal offence data </w:t>
      </w:r>
      <w:r w:rsidRPr="00380E25">
        <w:rPr>
          <w:rFonts w:ascii="Arial" w:eastAsia="Times New Roman" w:hAnsi="Arial" w:cs="Arial"/>
          <w:color w:val="000000"/>
          <w:sz w:val="24"/>
          <w:szCs w:val="24"/>
          <w:lang w:eastAsia="en-GB"/>
        </w:rPr>
        <w:t>under the following GDPR Articles:</w:t>
      </w:r>
    </w:p>
    <w:p w14:paraId="47D29351" w14:textId="52F506F8" w:rsidR="00CD2A4A" w:rsidRPr="008C4D14" w:rsidRDefault="00CD2A4A" w:rsidP="00380E25">
      <w:pPr>
        <w:shd w:val="clear" w:color="auto" w:fill="FFFFFF"/>
        <w:spacing w:after="240" w:line="240" w:lineRule="auto"/>
        <w:rPr>
          <w:rFonts w:ascii="Arial" w:eastAsia="Times New Roman" w:hAnsi="Arial" w:cs="Arial"/>
          <w:color w:val="000000"/>
          <w:sz w:val="24"/>
          <w:szCs w:val="24"/>
          <w:lang w:eastAsia="en-GB"/>
        </w:rPr>
      </w:pPr>
      <w:r w:rsidRPr="008C4D14">
        <w:rPr>
          <w:rFonts w:ascii="Arial" w:eastAsia="Times New Roman" w:hAnsi="Arial" w:cs="Arial"/>
          <w:color w:val="000000"/>
          <w:sz w:val="24"/>
          <w:szCs w:val="24"/>
          <w:lang w:eastAsia="en-GB"/>
        </w:rPr>
        <w:t>Article 9(2)(a) the data subject has given explicit consent to the processing of those personal data for one or more specified purposes.</w:t>
      </w:r>
    </w:p>
    <w:p w14:paraId="591B7147" w14:textId="43FE58FB" w:rsidR="00380E25" w:rsidRPr="008C4D14" w:rsidRDefault="00380E25" w:rsidP="00380E25">
      <w:pPr>
        <w:shd w:val="clear" w:color="auto" w:fill="FFFFFF"/>
        <w:spacing w:after="240" w:line="240" w:lineRule="auto"/>
        <w:rPr>
          <w:rFonts w:ascii="Arial" w:eastAsia="Times New Roman" w:hAnsi="Arial" w:cs="Arial"/>
          <w:color w:val="000000"/>
          <w:sz w:val="24"/>
          <w:szCs w:val="24"/>
          <w:lang w:eastAsia="en-GB"/>
        </w:rPr>
      </w:pPr>
      <w:r w:rsidRPr="008C4D14">
        <w:rPr>
          <w:rFonts w:ascii="Arial" w:eastAsia="Times New Roman" w:hAnsi="Arial" w:cs="Arial"/>
          <w:color w:val="000000"/>
          <w:sz w:val="24"/>
          <w:szCs w:val="24"/>
          <w:lang w:eastAsia="en-GB"/>
        </w:rPr>
        <w:t xml:space="preserve">Article 9(2)(b) – where processing is necessary for the purposes of performing or exercising obligations or rights which are imposed or conferred by law on the </w:t>
      </w:r>
      <w:proofErr w:type="spellStart"/>
      <w:r w:rsidRPr="008C4D14">
        <w:rPr>
          <w:rFonts w:ascii="Arial" w:eastAsia="Times New Roman" w:hAnsi="Arial" w:cs="Arial"/>
          <w:color w:val="000000"/>
          <w:sz w:val="24"/>
          <w:szCs w:val="24"/>
          <w:lang w:eastAsia="en-GB"/>
        </w:rPr>
        <w:t>ICO</w:t>
      </w:r>
      <w:proofErr w:type="spellEnd"/>
      <w:r w:rsidRPr="008C4D14">
        <w:rPr>
          <w:rFonts w:ascii="Arial" w:eastAsia="Times New Roman" w:hAnsi="Arial" w:cs="Arial"/>
          <w:color w:val="000000"/>
          <w:sz w:val="24"/>
          <w:szCs w:val="24"/>
          <w:lang w:eastAsia="en-GB"/>
        </w:rPr>
        <w:t xml:space="preserve"> or the data subject in connection with employment, social </w:t>
      </w:r>
      <w:proofErr w:type="gramStart"/>
      <w:r w:rsidRPr="008C4D14">
        <w:rPr>
          <w:rFonts w:ascii="Arial" w:eastAsia="Times New Roman" w:hAnsi="Arial" w:cs="Arial"/>
          <w:color w:val="000000"/>
          <w:sz w:val="24"/>
          <w:szCs w:val="24"/>
          <w:lang w:eastAsia="en-GB"/>
        </w:rPr>
        <w:t>security</w:t>
      </w:r>
      <w:proofErr w:type="gramEnd"/>
      <w:r w:rsidRPr="008C4D14">
        <w:rPr>
          <w:rFonts w:ascii="Arial" w:eastAsia="Times New Roman" w:hAnsi="Arial" w:cs="Arial"/>
          <w:color w:val="000000"/>
          <w:sz w:val="24"/>
          <w:szCs w:val="24"/>
          <w:lang w:eastAsia="en-GB"/>
        </w:rPr>
        <w:t xml:space="preserve"> or social protection.</w:t>
      </w:r>
    </w:p>
    <w:p w14:paraId="0CD58D42" w14:textId="77777777" w:rsidR="00380E25" w:rsidRPr="008C4D14" w:rsidRDefault="00380E25" w:rsidP="00380E25">
      <w:pPr>
        <w:shd w:val="clear" w:color="auto" w:fill="FFFFFF"/>
        <w:spacing w:after="240" w:line="240" w:lineRule="auto"/>
        <w:rPr>
          <w:rFonts w:ascii="Arial" w:eastAsia="Times New Roman" w:hAnsi="Arial" w:cs="Arial"/>
          <w:color w:val="000000"/>
          <w:sz w:val="24"/>
          <w:szCs w:val="24"/>
          <w:lang w:eastAsia="en-GB"/>
        </w:rPr>
      </w:pPr>
      <w:r w:rsidRPr="008C4D14">
        <w:rPr>
          <w:rFonts w:ascii="Arial" w:eastAsia="Times New Roman" w:hAnsi="Arial" w:cs="Arial"/>
          <w:color w:val="000000"/>
          <w:sz w:val="24"/>
          <w:szCs w:val="24"/>
          <w:lang w:eastAsia="en-GB"/>
        </w:rPr>
        <w:t>Examples of our processing include staff sickness absences and political activity declarations.</w:t>
      </w:r>
    </w:p>
    <w:p w14:paraId="6B966028" w14:textId="2E8931CE" w:rsidR="00CD2A4A" w:rsidRPr="008C4D14" w:rsidRDefault="00380E25" w:rsidP="00380E25">
      <w:pPr>
        <w:shd w:val="clear" w:color="auto" w:fill="FFFFFF"/>
        <w:spacing w:after="240" w:line="240" w:lineRule="auto"/>
        <w:rPr>
          <w:rFonts w:ascii="Arial" w:eastAsia="Times New Roman" w:hAnsi="Arial" w:cs="Arial"/>
          <w:color w:val="000000"/>
          <w:sz w:val="24"/>
          <w:szCs w:val="24"/>
          <w:lang w:eastAsia="en-GB"/>
        </w:rPr>
      </w:pPr>
      <w:r w:rsidRPr="008C4D14">
        <w:rPr>
          <w:rFonts w:ascii="Arial" w:eastAsia="Times New Roman" w:hAnsi="Arial" w:cs="Arial"/>
          <w:color w:val="000000"/>
          <w:sz w:val="24"/>
          <w:szCs w:val="24"/>
          <w:lang w:eastAsia="en-GB"/>
        </w:rPr>
        <w:t>Article 9(2)(g) - reasons of substantial public interest.</w:t>
      </w:r>
    </w:p>
    <w:p w14:paraId="5BE93B31" w14:textId="214E92CF" w:rsidR="00CD2A4A" w:rsidRDefault="00CD2A4A" w:rsidP="00380E25">
      <w:pPr>
        <w:shd w:val="clear" w:color="auto" w:fill="FFFFFF"/>
        <w:spacing w:after="240" w:line="240" w:lineRule="auto"/>
        <w:rPr>
          <w:rFonts w:ascii="Arial" w:eastAsia="Times New Roman" w:hAnsi="Arial" w:cs="Arial"/>
          <w:color w:val="000000"/>
          <w:sz w:val="24"/>
          <w:szCs w:val="24"/>
          <w:lang w:eastAsia="en-GB"/>
        </w:rPr>
      </w:pPr>
      <w:r w:rsidRPr="008C4D14">
        <w:rPr>
          <w:rFonts w:ascii="Arial" w:eastAsia="Times New Roman" w:hAnsi="Arial" w:cs="Arial"/>
          <w:color w:val="000000"/>
          <w:sz w:val="24"/>
          <w:szCs w:val="24"/>
          <w:lang w:eastAsia="en-GB"/>
        </w:rPr>
        <w:t xml:space="preserve">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5E62E2BE" w14:textId="1A2479DA" w:rsidR="000622A4" w:rsidRPr="000622A4" w:rsidRDefault="000622A4" w:rsidP="000622A4">
      <w:pPr>
        <w:spacing w:line="240" w:lineRule="auto"/>
        <w:rPr>
          <w:rFonts w:ascii="Arial" w:hAnsi="Arial" w:cs="Arial"/>
          <w:sz w:val="24"/>
          <w:szCs w:val="24"/>
        </w:rPr>
      </w:pPr>
      <w:r w:rsidRPr="000622A4">
        <w:rPr>
          <w:rFonts w:ascii="Arial" w:hAnsi="Arial" w:cs="Arial"/>
          <w:sz w:val="24"/>
          <w:szCs w:val="24"/>
        </w:rPr>
        <w:t xml:space="preserve">The lawful basis under which </w:t>
      </w:r>
      <w:proofErr w:type="spellStart"/>
      <w:r w:rsidRPr="000622A4">
        <w:rPr>
          <w:rFonts w:ascii="Arial" w:hAnsi="Arial" w:cs="Arial"/>
          <w:sz w:val="24"/>
          <w:szCs w:val="24"/>
        </w:rPr>
        <w:t>DWFRS</w:t>
      </w:r>
      <w:proofErr w:type="spellEnd"/>
      <w:r w:rsidRPr="000622A4">
        <w:rPr>
          <w:rFonts w:ascii="Arial" w:hAnsi="Arial" w:cs="Arial"/>
          <w:sz w:val="24"/>
          <w:szCs w:val="24"/>
        </w:rPr>
        <w:t xml:space="preserve"> collects special category or criminal offence data varies depending on the purpose for processing. </w:t>
      </w:r>
      <w:r w:rsidR="00670369" w:rsidRPr="00670369">
        <w:rPr>
          <w:rFonts w:ascii="Arial" w:hAnsi="Arial" w:cs="Arial"/>
          <w:sz w:val="24"/>
          <w:szCs w:val="24"/>
        </w:rPr>
        <w:t>The Information</w:t>
      </w:r>
      <w:r w:rsidRPr="00670369">
        <w:rPr>
          <w:rFonts w:ascii="Arial" w:hAnsi="Arial" w:cs="Arial"/>
          <w:sz w:val="24"/>
          <w:szCs w:val="24"/>
        </w:rPr>
        <w:t xml:space="preserve"> Asset Register</w:t>
      </w:r>
      <w:r w:rsidRPr="000622A4">
        <w:rPr>
          <w:rFonts w:ascii="Arial" w:hAnsi="Arial" w:cs="Arial"/>
          <w:sz w:val="24"/>
          <w:szCs w:val="24"/>
        </w:rPr>
        <w:t xml:space="preserve"> </w:t>
      </w:r>
      <w:r w:rsidR="00670369">
        <w:rPr>
          <w:rFonts w:ascii="Arial" w:hAnsi="Arial" w:cs="Arial"/>
          <w:sz w:val="24"/>
          <w:szCs w:val="24"/>
        </w:rPr>
        <w:t xml:space="preserve">provides </w:t>
      </w:r>
      <w:r w:rsidRPr="000622A4">
        <w:rPr>
          <w:rFonts w:ascii="Arial" w:hAnsi="Arial" w:cs="Arial"/>
          <w:sz w:val="24"/>
          <w:szCs w:val="24"/>
        </w:rPr>
        <w:t xml:space="preserve">a detailed breakdown (including Article 6 and Article 9 of the GDPR). </w:t>
      </w:r>
    </w:p>
    <w:p w14:paraId="632BB45F" w14:textId="49829A45" w:rsidR="00E219C0" w:rsidRPr="008B602B" w:rsidRDefault="00E219C0" w:rsidP="008B602B">
      <w:pPr>
        <w:rPr>
          <w:rFonts w:ascii="Arial" w:hAnsi="Arial" w:cs="Arial"/>
          <w:b/>
          <w:bCs/>
          <w:sz w:val="28"/>
          <w:szCs w:val="28"/>
        </w:rPr>
      </w:pPr>
      <w:r w:rsidRPr="008B602B">
        <w:rPr>
          <w:rFonts w:ascii="Arial" w:hAnsi="Arial" w:cs="Arial"/>
          <w:b/>
          <w:bCs/>
          <w:sz w:val="28"/>
          <w:szCs w:val="28"/>
        </w:rPr>
        <w:t>Substantial public interest</w:t>
      </w:r>
    </w:p>
    <w:p w14:paraId="5CA5BA26" w14:textId="498AE70C" w:rsidR="00E219C0" w:rsidRPr="00E219C0" w:rsidRDefault="00DA20B9" w:rsidP="00E219C0">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Part 1, Chapter 2, </w:t>
      </w:r>
      <w:proofErr w:type="gramStart"/>
      <w:r w:rsidR="00414A44">
        <w:rPr>
          <w:rFonts w:ascii="Arial" w:eastAsia="Times New Roman" w:hAnsi="Arial" w:cs="Arial"/>
          <w:color w:val="0B0C0C"/>
          <w:sz w:val="24"/>
          <w:szCs w:val="24"/>
          <w:lang w:eastAsia="en-GB"/>
        </w:rPr>
        <w:t xml:space="preserve">Paragraph </w:t>
      </w:r>
      <w:r w:rsidR="00E219C0" w:rsidRPr="00E219C0">
        <w:rPr>
          <w:rFonts w:ascii="Arial" w:eastAsia="Times New Roman" w:hAnsi="Arial" w:cs="Arial"/>
          <w:color w:val="0B0C0C"/>
          <w:sz w:val="24"/>
          <w:szCs w:val="24"/>
          <w:lang w:eastAsia="en-GB"/>
        </w:rPr>
        <w:t xml:space="preserve"> 10</w:t>
      </w:r>
      <w:proofErr w:type="gramEnd"/>
      <w:r w:rsidR="00E219C0" w:rsidRPr="00E219C0">
        <w:rPr>
          <w:rFonts w:ascii="Arial" w:eastAsia="Times New Roman" w:hAnsi="Arial" w:cs="Arial"/>
          <w:color w:val="0B0C0C"/>
          <w:sz w:val="24"/>
          <w:szCs w:val="24"/>
          <w:lang w:eastAsia="en-GB"/>
        </w:rPr>
        <w:t>(3) of the </w:t>
      </w:r>
      <w:proofErr w:type="spellStart"/>
      <w:r w:rsidR="00E219C0" w:rsidRPr="00E219C0">
        <w:rPr>
          <w:rFonts w:ascii="Arial" w:eastAsia="Times New Roman" w:hAnsi="Arial" w:cs="Arial"/>
          <w:color w:val="0B0C0C"/>
          <w:sz w:val="24"/>
          <w:szCs w:val="24"/>
          <w:lang w:eastAsia="en-GB"/>
        </w:rPr>
        <w:t>DPA</w:t>
      </w:r>
      <w:proofErr w:type="spellEnd"/>
      <w:r w:rsidR="00E219C0" w:rsidRPr="00E219C0">
        <w:rPr>
          <w:rFonts w:ascii="Arial" w:eastAsia="Times New Roman" w:hAnsi="Arial" w:cs="Arial"/>
          <w:color w:val="0B0C0C"/>
          <w:sz w:val="24"/>
          <w:szCs w:val="24"/>
          <w:lang w:eastAsia="en-GB"/>
        </w:rPr>
        <w:t> 2018 sets out that in order for processing of special categories of personal data and criminal offence data to be necessary for reasons of substantial public interest under Article 9(2)(g) of the UK GDPR, that processing must meet one of the conditions set out in Schedule 1</w:t>
      </w:r>
      <w:r w:rsidR="00DD49FE">
        <w:rPr>
          <w:rFonts w:ascii="Arial" w:eastAsia="Times New Roman" w:hAnsi="Arial" w:cs="Arial"/>
          <w:color w:val="0B0C0C"/>
          <w:sz w:val="24"/>
          <w:szCs w:val="24"/>
          <w:lang w:eastAsia="en-GB"/>
        </w:rPr>
        <w:t>, Part 2</w:t>
      </w:r>
      <w:r w:rsidR="00E219C0" w:rsidRPr="00E219C0">
        <w:rPr>
          <w:rFonts w:ascii="Arial" w:eastAsia="Times New Roman" w:hAnsi="Arial" w:cs="Arial"/>
          <w:color w:val="0B0C0C"/>
          <w:sz w:val="24"/>
          <w:szCs w:val="24"/>
          <w:lang w:eastAsia="en-GB"/>
        </w:rPr>
        <w:t>.</w:t>
      </w:r>
    </w:p>
    <w:p w14:paraId="5CE321D7" w14:textId="40F57411" w:rsidR="00E219C0" w:rsidRPr="00E219C0" w:rsidRDefault="00E219C0" w:rsidP="00E219C0">
      <w:pPr>
        <w:shd w:val="clear" w:color="auto" w:fill="FFFFFF"/>
        <w:spacing w:before="300" w:after="300" w:line="240" w:lineRule="auto"/>
        <w:rPr>
          <w:rFonts w:ascii="Arial" w:eastAsia="Times New Roman" w:hAnsi="Arial" w:cs="Arial"/>
          <w:color w:val="0B0C0C"/>
          <w:sz w:val="24"/>
          <w:szCs w:val="24"/>
          <w:lang w:eastAsia="en-GB"/>
        </w:rPr>
      </w:pPr>
      <w:proofErr w:type="spellStart"/>
      <w:r>
        <w:rPr>
          <w:rFonts w:ascii="Arial" w:eastAsia="Times New Roman" w:hAnsi="Arial" w:cs="Arial"/>
          <w:color w:val="0B0C0C"/>
          <w:sz w:val="24"/>
          <w:szCs w:val="24"/>
          <w:lang w:eastAsia="en-GB"/>
        </w:rPr>
        <w:t>DWFRS</w:t>
      </w:r>
      <w:proofErr w:type="spellEnd"/>
      <w:r w:rsidRPr="00E219C0">
        <w:rPr>
          <w:rFonts w:ascii="Arial" w:eastAsia="Times New Roman" w:hAnsi="Arial" w:cs="Arial"/>
          <w:color w:val="0B0C0C"/>
          <w:sz w:val="24"/>
          <w:szCs w:val="24"/>
          <w:lang w:eastAsia="en-GB"/>
        </w:rPr>
        <w:t xml:space="preserve"> processes special category and criminal offence data in the performance of its statutory and corporate functions when the following conditions set out in the following paragraphs of Schedule 1</w:t>
      </w:r>
      <w:r w:rsidR="00C52176">
        <w:rPr>
          <w:rFonts w:ascii="Arial" w:eastAsia="Times New Roman" w:hAnsi="Arial" w:cs="Arial"/>
          <w:color w:val="0B0C0C"/>
          <w:sz w:val="24"/>
          <w:szCs w:val="24"/>
          <w:lang w:eastAsia="en-GB"/>
        </w:rPr>
        <w:t>, Part 2 of</w:t>
      </w:r>
      <w:r w:rsidRPr="00E219C0">
        <w:rPr>
          <w:rFonts w:ascii="Arial" w:eastAsia="Times New Roman" w:hAnsi="Arial" w:cs="Arial"/>
          <w:color w:val="0B0C0C"/>
          <w:sz w:val="24"/>
          <w:szCs w:val="24"/>
          <w:lang w:eastAsia="en-GB"/>
        </w:rPr>
        <w:t xml:space="preserve"> the </w:t>
      </w:r>
      <w:proofErr w:type="spellStart"/>
      <w:r w:rsidRPr="00E219C0">
        <w:rPr>
          <w:rFonts w:ascii="Arial" w:eastAsia="Times New Roman" w:hAnsi="Arial" w:cs="Arial"/>
          <w:color w:val="0B0C0C"/>
          <w:sz w:val="24"/>
          <w:szCs w:val="24"/>
          <w:lang w:eastAsia="en-GB"/>
        </w:rPr>
        <w:t>DPA</w:t>
      </w:r>
      <w:proofErr w:type="spellEnd"/>
      <w:r w:rsidRPr="00E219C0">
        <w:rPr>
          <w:rFonts w:ascii="Arial" w:eastAsia="Times New Roman" w:hAnsi="Arial" w:cs="Arial"/>
          <w:color w:val="0B0C0C"/>
          <w:sz w:val="24"/>
          <w:szCs w:val="24"/>
          <w:lang w:eastAsia="en-GB"/>
        </w:rPr>
        <w:t> 2018 are met:</w:t>
      </w:r>
    </w:p>
    <w:p w14:paraId="10960D60" w14:textId="77777777" w:rsidR="00E219C0" w:rsidRPr="00E219C0" w:rsidRDefault="00E219C0" w:rsidP="00E219C0">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E219C0">
        <w:rPr>
          <w:rFonts w:ascii="Arial" w:eastAsia="Times New Roman" w:hAnsi="Arial" w:cs="Arial"/>
          <w:color w:val="0B0C0C"/>
          <w:sz w:val="24"/>
          <w:szCs w:val="24"/>
          <w:lang w:eastAsia="en-GB"/>
        </w:rPr>
        <w:t>paragraph 6 (Statutory etc and government purposes)</w:t>
      </w:r>
    </w:p>
    <w:p w14:paraId="678BCE4D" w14:textId="77777777" w:rsidR="00E219C0" w:rsidRPr="00D079E1" w:rsidRDefault="00E219C0" w:rsidP="00E219C0">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E219C0">
        <w:rPr>
          <w:rFonts w:ascii="Arial" w:eastAsia="Times New Roman" w:hAnsi="Arial" w:cs="Arial"/>
          <w:color w:val="0B0C0C"/>
          <w:sz w:val="24"/>
          <w:szCs w:val="24"/>
          <w:lang w:eastAsia="en-GB"/>
        </w:rPr>
        <w:t xml:space="preserve">paragraph </w:t>
      </w:r>
      <w:r w:rsidRPr="00D079E1">
        <w:rPr>
          <w:rFonts w:ascii="Arial" w:eastAsia="Times New Roman" w:hAnsi="Arial" w:cs="Arial"/>
          <w:color w:val="0B0C0C"/>
          <w:sz w:val="24"/>
          <w:szCs w:val="24"/>
          <w:lang w:eastAsia="en-GB"/>
        </w:rPr>
        <w:t>8 (Equality of opportunity or treatment)</w:t>
      </w:r>
    </w:p>
    <w:p w14:paraId="7976432D" w14:textId="77777777" w:rsidR="00E219C0" w:rsidRPr="00D079E1" w:rsidRDefault="00E219C0" w:rsidP="00E219C0">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D079E1">
        <w:rPr>
          <w:rFonts w:ascii="Arial" w:eastAsia="Times New Roman" w:hAnsi="Arial" w:cs="Arial"/>
          <w:color w:val="0B0C0C"/>
          <w:sz w:val="24"/>
          <w:szCs w:val="24"/>
          <w:lang w:eastAsia="en-GB"/>
        </w:rPr>
        <w:t>paragraph 10 (Preventing or detecting unlawful acts)</w:t>
      </w:r>
    </w:p>
    <w:p w14:paraId="06E83599" w14:textId="5050F4DA" w:rsidR="00E219C0" w:rsidRPr="00E219C0" w:rsidRDefault="00E219C0" w:rsidP="004C4719">
      <w:pPr>
        <w:numPr>
          <w:ilvl w:val="0"/>
          <w:numId w:val="10"/>
        </w:numPr>
        <w:shd w:val="clear" w:color="auto" w:fill="FFFFFF"/>
        <w:spacing w:after="75" w:line="240" w:lineRule="auto"/>
        <w:ind w:left="1020"/>
        <w:rPr>
          <w:rFonts w:ascii="Arial" w:eastAsia="Times New Roman" w:hAnsi="Arial" w:cs="Arial"/>
          <w:color w:val="0B0C0C"/>
          <w:sz w:val="24"/>
          <w:szCs w:val="24"/>
          <w:lang w:eastAsia="en-GB"/>
        </w:rPr>
      </w:pPr>
      <w:r w:rsidRPr="00E219C0">
        <w:rPr>
          <w:rFonts w:ascii="Arial" w:eastAsia="Times New Roman" w:hAnsi="Arial" w:cs="Arial"/>
          <w:color w:val="0B0C0C"/>
          <w:sz w:val="24"/>
          <w:szCs w:val="24"/>
          <w:lang w:eastAsia="en-GB"/>
        </w:rPr>
        <w:t xml:space="preserve">paragraph </w:t>
      </w:r>
      <w:r w:rsidR="004C4719" w:rsidRPr="004C4719">
        <w:rPr>
          <w:rFonts w:ascii="Arial" w:eastAsia="Times New Roman" w:hAnsi="Arial" w:cs="Arial"/>
          <w:color w:val="0B0C0C"/>
          <w:sz w:val="24"/>
          <w:szCs w:val="24"/>
          <w:lang w:eastAsia="en-GB"/>
        </w:rPr>
        <w:t>18 (Safeguarding of children and of individuals at risk)</w:t>
      </w:r>
    </w:p>
    <w:p w14:paraId="2373B384" w14:textId="28DF7E45" w:rsidR="000622A4" w:rsidRPr="00D079E1" w:rsidRDefault="00E219C0" w:rsidP="00D079E1">
      <w:pPr>
        <w:shd w:val="clear" w:color="auto" w:fill="FFFFFF"/>
        <w:spacing w:before="300" w:after="300" w:line="240" w:lineRule="auto"/>
        <w:rPr>
          <w:rFonts w:ascii="Arial" w:eastAsia="Times New Roman" w:hAnsi="Arial" w:cs="Arial"/>
          <w:color w:val="0B0C0C"/>
          <w:sz w:val="24"/>
          <w:szCs w:val="24"/>
          <w:lang w:eastAsia="en-GB"/>
        </w:rPr>
      </w:pPr>
      <w:r w:rsidRPr="00E219C0">
        <w:rPr>
          <w:rFonts w:ascii="Arial" w:eastAsia="Times New Roman" w:hAnsi="Arial" w:cs="Arial"/>
          <w:color w:val="0B0C0C"/>
          <w:sz w:val="24"/>
          <w:szCs w:val="24"/>
          <w:lang w:eastAsia="en-GB"/>
        </w:rPr>
        <w:lastRenderedPageBreak/>
        <w:t xml:space="preserve">These conditions apply to </w:t>
      </w:r>
      <w:proofErr w:type="spellStart"/>
      <w:r w:rsidR="004C4719" w:rsidRPr="004C4719">
        <w:rPr>
          <w:rFonts w:ascii="Arial" w:eastAsia="Times New Roman" w:hAnsi="Arial" w:cs="Arial"/>
          <w:color w:val="0B0C0C"/>
          <w:sz w:val="24"/>
          <w:szCs w:val="24"/>
          <w:lang w:eastAsia="en-GB"/>
        </w:rPr>
        <w:t>DWFRS’s</w:t>
      </w:r>
      <w:proofErr w:type="spellEnd"/>
      <w:r w:rsidRPr="00E219C0">
        <w:rPr>
          <w:rFonts w:ascii="Arial" w:eastAsia="Times New Roman" w:hAnsi="Arial" w:cs="Arial"/>
          <w:color w:val="0B0C0C"/>
          <w:sz w:val="24"/>
          <w:szCs w:val="24"/>
          <w:lang w:eastAsia="en-GB"/>
        </w:rPr>
        <w:t xml:space="preserve"> statutory and corporate functions. All processing is for the first listed purpose and might also be for others, depending on the context.</w:t>
      </w:r>
    </w:p>
    <w:p w14:paraId="11DF4378" w14:textId="77777777" w:rsidR="00ED3EDB" w:rsidRPr="008B602B" w:rsidRDefault="000622A4">
      <w:pPr>
        <w:rPr>
          <w:rFonts w:ascii="Arial" w:hAnsi="Arial" w:cs="Arial"/>
          <w:b/>
          <w:bCs/>
          <w:sz w:val="28"/>
          <w:szCs w:val="28"/>
        </w:rPr>
      </w:pPr>
      <w:r w:rsidRPr="008B602B">
        <w:rPr>
          <w:rFonts w:ascii="Arial" w:hAnsi="Arial" w:cs="Arial"/>
          <w:b/>
          <w:bCs/>
          <w:sz w:val="28"/>
          <w:szCs w:val="28"/>
        </w:rPr>
        <w:t xml:space="preserve">Employment, social </w:t>
      </w:r>
      <w:proofErr w:type="gramStart"/>
      <w:r w:rsidRPr="008B602B">
        <w:rPr>
          <w:rFonts w:ascii="Arial" w:hAnsi="Arial" w:cs="Arial"/>
          <w:b/>
          <w:bCs/>
          <w:sz w:val="28"/>
          <w:szCs w:val="28"/>
        </w:rPr>
        <w:t>security</w:t>
      </w:r>
      <w:proofErr w:type="gramEnd"/>
      <w:r w:rsidRPr="008B602B">
        <w:rPr>
          <w:rFonts w:ascii="Arial" w:hAnsi="Arial" w:cs="Arial"/>
          <w:b/>
          <w:bCs/>
          <w:sz w:val="28"/>
          <w:szCs w:val="28"/>
        </w:rPr>
        <w:t xml:space="preserve"> and social protection</w:t>
      </w:r>
      <w:r w:rsidR="00ED3EDB" w:rsidRPr="008B602B">
        <w:rPr>
          <w:rFonts w:ascii="Arial" w:hAnsi="Arial" w:cs="Arial"/>
          <w:b/>
          <w:bCs/>
          <w:sz w:val="28"/>
          <w:szCs w:val="28"/>
        </w:rPr>
        <w:t xml:space="preserve"> law</w:t>
      </w:r>
    </w:p>
    <w:p w14:paraId="40011641" w14:textId="7E927130" w:rsidR="00ED3EDB" w:rsidRPr="00F128E2" w:rsidRDefault="003E2BB5" w:rsidP="008B602B">
      <w:pPr>
        <w:rPr>
          <w:rFonts w:ascii="Arial" w:hAnsi="Arial" w:cs="Arial"/>
          <w:color w:val="0B0C0C"/>
          <w:sz w:val="24"/>
          <w:szCs w:val="24"/>
        </w:rPr>
      </w:pPr>
      <w:r>
        <w:rPr>
          <w:rFonts w:ascii="Arial" w:hAnsi="Arial" w:cs="Arial"/>
          <w:color w:val="0B0C0C"/>
          <w:sz w:val="24"/>
          <w:szCs w:val="24"/>
        </w:rPr>
        <w:t xml:space="preserve">Part 2, Chapter 2, Paragraph </w:t>
      </w:r>
      <w:r w:rsidR="00ED3EDB" w:rsidRPr="00F128E2">
        <w:rPr>
          <w:rFonts w:ascii="Arial" w:hAnsi="Arial" w:cs="Arial"/>
          <w:color w:val="0B0C0C"/>
          <w:sz w:val="24"/>
          <w:szCs w:val="24"/>
        </w:rPr>
        <w:t>10(2) of the </w:t>
      </w:r>
      <w:proofErr w:type="spellStart"/>
      <w:r w:rsidR="00ED3EDB" w:rsidRPr="00F128E2">
        <w:rPr>
          <w:rFonts w:ascii="Arial" w:hAnsi="Arial" w:cs="Arial"/>
          <w:color w:val="0B0C0C"/>
          <w:sz w:val="24"/>
          <w:szCs w:val="24"/>
        </w:rPr>
        <w:t>DPA</w:t>
      </w:r>
      <w:proofErr w:type="spellEnd"/>
      <w:r w:rsidR="00ED3EDB" w:rsidRPr="00F128E2">
        <w:rPr>
          <w:rFonts w:ascii="Arial" w:hAnsi="Arial" w:cs="Arial"/>
          <w:color w:val="0B0C0C"/>
          <w:sz w:val="24"/>
          <w:szCs w:val="24"/>
        </w:rPr>
        <w:t xml:space="preserve"> 2018 sets out that in order for processing of special categories of personal data to be necessary for the purposes of carrying out the obligations and </w:t>
      </w:r>
      <w:r w:rsidR="00ED3EDB" w:rsidRPr="00F128E2">
        <w:rPr>
          <w:rFonts w:ascii="Arial" w:hAnsi="Arial" w:cs="Arial"/>
          <w:sz w:val="24"/>
          <w:szCs w:val="24"/>
        </w:rPr>
        <w:t>exercising specific rights</w:t>
      </w:r>
      <w:r w:rsidR="00ED3EDB" w:rsidRPr="00F128E2">
        <w:rPr>
          <w:rFonts w:ascii="Arial" w:hAnsi="Arial" w:cs="Arial"/>
          <w:color w:val="0B0C0C"/>
          <w:sz w:val="24"/>
          <w:szCs w:val="24"/>
        </w:rPr>
        <w:t xml:space="preserve"> of </w:t>
      </w:r>
      <w:proofErr w:type="spellStart"/>
      <w:r w:rsidR="00ED3EDB" w:rsidRPr="00F128E2">
        <w:rPr>
          <w:rFonts w:ascii="Arial" w:hAnsi="Arial" w:cs="Arial"/>
          <w:color w:val="0B0C0C"/>
          <w:sz w:val="24"/>
          <w:szCs w:val="24"/>
        </w:rPr>
        <w:t>DWFRS</w:t>
      </w:r>
      <w:proofErr w:type="spellEnd"/>
      <w:r w:rsidR="00ED3EDB" w:rsidRPr="00F128E2">
        <w:rPr>
          <w:rFonts w:ascii="Arial" w:hAnsi="Arial" w:cs="Arial"/>
          <w:color w:val="0B0C0C"/>
          <w:sz w:val="24"/>
          <w:szCs w:val="24"/>
        </w:rPr>
        <w:t xml:space="preserve"> or of the data subject in the field of employment, social security and social protection law under Article 9(2)(b) of the UK GDPR, that processing must meet one of the conditions set out in </w:t>
      </w:r>
      <w:r w:rsidR="00594B07">
        <w:rPr>
          <w:rFonts w:ascii="Arial" w:hAnsi="Arial" w:cs="Arial"/>
          <w:color w:val="0B0C0C"/>
          <w:sz w:val="24"/>
          <w:szCs w:val="24"/>
        </w:rPr>
        <w:t xml:space="preserve">Schedule 1, Part 1 of the </w:t>
      </w:r>
      <w:proofErr w:type="spellStart"/>
      <w:r w:rsidR="007B7A6F">
        <w:rPr>
          <w:rFonts w:ascii="Arial" w:hAnsi="Arial" w:cs="Arial"/>
          <w:color w:val="0B0C0C"/>
          <w:sz w:val="24"/>
          <w:szCs w:val="24"/>
        </w:rPr>
        <w:t>DPA</w:t>
      </w:r>
      <w:proofErr w:type="spellEnd"/>
      <w:r w:rsidR="007B7A6F">
        <w:rPr>
          <w:rFonts w:ascii="Arial" w:hAnsi="Arial" w:cs="Arial"/>
          <w:color w:val="0B0C0C"/>
          <w:sz w:val="24"/>
          <w:szCs w:val="24"/>
        </w:rPr>
        <w:t xml:space="preserve"> 2018</w:t>
      </w:r>
      <w:r w:rsidR="00ED3EDB" w:rsidRPr="00F128E2">
        <w:rPr>
          <w:rFonts w:ascii="Arial" w:hAnsi="Arial" w:cs="Arial"/>
          <w:color w:val="0B0C0C"/>
          <w:sz w:val="24"/>
          <w:szCs w:val="24"/>
        </w:rPr>
        <w:t>.</w:t>
      </w:r>
    </w:p>
    <w:p w14:paraId="6AE1B0DE" w14:textId="530D3666" w:rsidR="00ED3EDB" w:rsidRPr="00417D86" w:rsidRDefault="00ED3EDB" w:rsidP="00D079E1">
      <w:pPr>
        <w:pStyle w:val="NormalWeb"/>
        <w:shd w:val="clear" w:color="auto" w:fill="FFFFFF"/>
        <w:spacing w:before="300" w:beforeAutospacing="0" w:after="300" w:afterAutospacing="0"/>
        <w:rPr>
          <w:rFonts w:ascii="Arial" w:hAnsi="Arial" w:cs="Arial"/>
          <w:color w:val="0B0C0C"/>
        </w:rPr>
      </w:pPr>
      <w:proofErr w:type="spellStart"/>
      <w:r w:rsidRPr="00417D86">
        <w:rPr>
          <w:rFonts w:ascii="Arial" w:hAnsi="Arial" w:cs="Arial"/>
          <w:color w:val="0B0C0C"/>
        </w:rPr>
        <w:t>DWFRS</w:t>
      </w:r>
      <w:proofErr w:type="spellEnd"/>
      <w:r w:rsidRPr="00417D86">
        <w:rPr>
          <w:rFonts w:ascii="Arial" w:hAnsi="Arial" w:cs="Arial"/>
          <w:color w:val="0B0C0C"/>
        </w:rPr>
        <w:t xml:space="preserve"> processes special category data for HR purposes when the condition set out in </w:t>
      </w:r>
      <w:r w:rsidR="00DA5D98">
        <w:rPr>
          <w:rFonts w:ascii="Arial" w:hAnsi="Arial" w:cs="Arial"/>
          <w:color w:val="0B0C0C"/>
        </w:rPr>
        <w:t xml:space="preserve">Schedule 1, Part, 1, Paragraph 1 of </w:t>
      </w:r>
      <w:r w:rsidRPr="00417D86">
        <w:rPr>
          <w:rFonts w:ascii="Arial" w:hAnsi="Arial" w:cs="Arial"/>
          <w:color w:val="0B0C0C"/>
        </w:rPr>
        <w:t>the </w:t>
      </w:r>
      <w:proofErr w:type="spellStart"/>
      <w:r w:rsidRPr="00417D86">
        <w:rPr>
          <w:rFonts w:ascii="Arial" w:hAnsi="Arial" w:cs="Arial"/>
          <w:color w:val="0B0C0C"/>
        </w:rPr>
        <w:t>DPA</w:t>
      </w:r>
      <w:proofErr w:type="spellEnd"/>
      <w:r w:rsidRPr="00417D86">
        <w:rPr>
          <w:rFonts w:ascii="Arial" w:hAnsi="Arial" w:cs="Arial"/>
          <w:color w:val="0B0C0C"/>
        </w:rPr>
        <w:t xml:space="preserve"> 2018 is met. </w:t>
      </w:r>
    </w:p>
    <w:p w14:paraId="7B97C023" w14:textId="3FA29B41" w:rsidR="00440875" w:rsidRPr="008B602B" w:rsidRDefault="00984251">
      <w:pPr>
        <w:rPr>
          <w:rFonts w:ascii="Arial" w:hAnsi="Arial" w:cs="Arial"/>
          <w:b/>
          <w:bCs/>
          <w:color w:val="1A206D"/>
          <w:sz w:val="28"/>
          <w:szCs w:val="28"/>
        </w:rPr>
      </w:pPr>
      <w:r w:rsidRPr="008B602B">
        <w:rPr>
          <w:rFonts w:ascii="Arial" w:hAnsi="Arial" w:cs="Arial"/>
          <w:b/>
          <w:bCs/>
          <w:color w:val="1A206D"/>
          <w:sz w:val="28"/>
          <w:szCs w:val="28"/>
        </w:rPr>
        <w:t>Procedures for ensuring compliance with the data protection principles</w:t>
      </w:r>
    </w:p>
    <w:p w14:paraId="2A2B0CB9" w14:textId="7D4DD79A" w:rsidR="00984251" w:rsidRPr="00391AAB" w:rsidRDefault="00AC0D1D">
      <w:pPr>
        <w:rPr>
          <w:rFonts w:ascii="Arial" w:hAnsi="Arial" w:cs="Arial"/>
          <w:b/>
          <w:bCs/>
          <w:sz w:val="28"/>
          <w:szCs w:val="28"/>
        </w:rPr>
      </w:pPr>
      <w:r w:rsidRPr="00391AAB">
        <w:rPr>
          <w:rFonts w:ascii="Arial" w:hAnsi="Arial" w:cs="Arial"/>
          <w:b/>
          <w:bCs/>
          <w:sz w:val="28"/>
          <w:szCs w:val="28"/>
        </w:rPr>
        <w:t>Accountability principle</w:t>
      </w:r>
      <w:r w:rsidR="009C7717" w:rsidRPr="00391AAB">
        <w:rPr>
          <w:rFonts w:ascii="Arial" w:hAnsi="Arial" w:cs="Arial"/>
          <w:b/>
          <w:bCs/>
          <w:sz w:val="28"/>
          <w:szCs w:val="28"/>
        </w:rPr>
        <w:t xml:space="preserve"> </w:t>
      </w:r>
    </w:p>
    <w:p w14:paraId="3E7A4E3B" w14:textId="18C7B491" w:rsidR="00433899" w:rsidRDefault="00433899">
      <w:pPr>
        <w:rPr>
          <w:rFonts w:ascii="Arial" w:hAnsi="Arial" w:cs="Arial"/>
          <w:sz w:val="24"/>
          <w:szCs w:val="24"/>
        </w:rPr>
      </w:pPr>
      <w:r w:rsidRPr="00D07FC6">
        <w:rPr>
          <w:rFonts w:ascii="Arial" w:hAnsi="Arial" w:cs="Arial"/>
          <w:sz w:val="24"/>
          <w:szCs w:val="24"/>
        </w:rPr>
        <w:t>We have appointed a Data Protection Officer who reports to the Senior Information Risk Owner and is responsible for monitoring compliance with data protection legislation.</w:t>
      </w:r>
    </w:p>
    <w:p w14:paraId="61533813" w14:textId="3355A8A5" w:rsidR="00AB226C" w:rsidRDefault="00AB226C">
      <w:pPr>
        <w:rPr>
          <w:rFonts w:ascii="Arial" w:hAnsi="Arial" w:cs="Arial"/>
          <w:sz w:val="24"/>
          <w:szCs w:val="24"/>
        </w:rPr>
      </w:pPr>
      <w:r>
        <w:rPr>
          <w:rFonts w:ascii="Arial" w:hAnsi="Arial" w:cs="Arial"/>
          <w:sz w:val="24"/>
          <w:szCs w:val="24"/>
        </w:rPr>
        <w:t>Information Asset Owners</w:t>
      </w:r>
      <w:r w:rsidR="009C5268">
        <w:rPr>
          <w:rFonts w:ascii="Arial" w:hAnsi="Arial" w:cs="Arial"/>
          <w:sz w:val="24"/>
          <w:szCs w:val="24"/>
        </w:rPr>
        <w:t xml:space="preserve"> (</w:t>
      </w:r>
      <w:proofErr w:type="spellStart"/>
      <w:r w:rsidR="009C5268">
        <w:rPr>
          <w:rFonts w:ascii="Arial" w:hAnsi="Arial" w:cs="Arial"/>
          <w:sz w:val="24"/>
          <w:szCs w:val="24"/>
        </w:rPr>
        <w:t>IAOs</w:t>
      </w:r>
      <w:proofErr w:type="spellEnd"/>
      <w:r w:rsidR="009C5268">
        <w:rPr>
          <w:rFonts w:ascii="Arial" w:hAnsi="Arial" w:cs="Arial"/>
          <w:sz w:val="24"/>
          <w:szCs w:val="24"/>
        </w:rPr>
        <w:t>)</w:t>
      </w:r>
      <w:r w:rsidR="00ED0B9F">
        <w:rPr>
          <w:rFonts w:ascii="Arial" w:hAnsi="Arial" w:cs="Arial"/>
          <w:sz w:val="24"/>
          <w:szCs w:val="24"/>
        </w:rPr>
        <w:t xml:space="preserve">, </w:t>
      </w:r>
      <w:r w:rsidR="00637918">
        <w:rPr>
          <w:rFonts w:ascii="Arial" w:hAnsi="Arial" w:cs="Arial"/>
          <w:sz w:val="24"/>
          <w:szCs w:val="24"/>
        </w:rPr>
        <w:t xml:space="preserve">at Head of Department or Area Manager level, </w:t>
      </w:r>
      <w:r w:rsidR="009C5268">
        <w:rPr>
          <w:rFonts w:ascii="Arial" w:hAnsi="Arial" w:cs="Arial"/>
          <w:sz w:val="24"/>
          <w:szCs w:val="24"/>
        </w:rPr>
        <w:t xml:space="preserve">have risk ownership and accountability </w:t>
      </w:r>
      <w:r w:rsidR="00ED0B9F">
        <w:rPr>
          <w:rFonts w:ascii="Arial" w:hAnsi="Arial" w:cs="Arial"/>
          <w:sz w:val="24"/>
          <w:szCs w:val="24"/>
        </w:rPr>
        <w:t xml:space="preserve">of the special category data that is </w:t>
      </w:r>
      <w:r w:rsidR="00637918">
        <w:rPr>
          <w:rFonts w:ascii="Arial" w:hAnsi="Arial" w:cs="Arial"/>
          <w:sz w:val="24"/>
          <w:szCs w:val="24"/>
        </w:rPr>
        <w:t>processed within their department.</w:t>
      </w:r>
    </w:p>
    <w:p w14:paraId="7A82B0A5" w14:textId="3613718D" w:rsidR="00AD2773" w:rsidRPr="00D07FC6" w:rsidRDefault="00AD2773">
      <w:pPr>
        <w:rPr>
          <w:rFonts w:ascii="Arial" w:hAnsi="Arial" w:cs="Arial"/>
          <w:sz w:val="24"/>
          <w:szCs w:val="24"/>
        </w:rPr>
      </w:pPr>
      <w:r w:rsidRPr="2654E64A">
        <w:rPr>
          <w:rFonts w:ascii="Arial" w:hAnsi="Arial" w:cs="Arial"/>
          <w:sz w:val="24"/>
          <w:szCs w:val="24"/>
        </w:rPr>
        <w:t xml:space="preserve">We carry out </w:t>
      </w:r>
      <w:r w:rsidR="00FC2E8F" w:rsidRPr="2654E64A">
        <w:rPr>
          <w:rFonts w:ascii="Arial" w:hAnsi="Arial" w:cs="Arial"/>
          <w:sz w:val="24"/>
          <w:szCs w:val="24"/>
        </w:rPr>
        <w:t xml:space="preserve">Information Governance impact assessments prior to </w:t>
      </w:r>
      <w:r w:rsidR="000E6023" w:rsidRPr="2654E64A">
        <w:rPr>
          <w:rFonts w:ascii="Arial" w:hAnsi="Arial" w:cs="Arial"/>
          <w:sz w:val="24"/>
          <w:szCs w:val="24"/>
        </w:rPr>
        <w:t>undertaking any new, or changes to, processing of special category data.</w:t>
      </w:r>
    </w:p>
    <w:p w14:paraId="3720AB7D" w14:textId="036CBAB3" w:rsidR="00433899" w:rsidRPr="00391AAB" w:rsidRDefault="00B67929">
      <w:pPr>
        <w:rPr>
          <w:rFonts w:ascii="Arial" w:hAnsi="Arial" w:cs="Arial"/>
          <w:b/>
          <w:bCs/>
          <w:sz w:val="28"/>
          <w:szCs w:val="28"/>
        </w:rPr>
      </w:pPr>
      <w:r w:rsidRPr="00391AAB">
        <w:rPr>
          <w:rFonts w:ascii="Arial" w:hAnsi="Arial" w:cs="Arial"/>
          <w:b/>
          <w:bCs/>
          <w:sz w:val="28"/>
          <w:szCs w:val="28"/>
        </w:rPr>
        <w:t>Lawfulness</w:t>
      </w:r>
      <w:r w:rsidR="00433899" w:rsidRPr="00391AAB">
        <w:rPr>
          <w:rFonts w:ascii="Arial" w:hAnsi="Arial" w:cs="Arial"/>
          <w:b/>
          <w:bCs/>
          <w:sz w:val="28"/>
          <w:szCs w:val="28"/>
        </w:rPr>
        <w:t xml:space="preserve">, </w:t>
      </w:r>
      <w:proofErr w:type="gramStart"/>
      <w:r w:rsidR="00433899" w:rsidRPr="00391AAB">
        <w:rPr>
          <w:rFonts w:ascii="Arial" w:hAnsi="Arial" w:cs="Arial"/>
          <w:b/>
          <w:bCs/>
          <w:sz w:val="28"/>
          <w:szCs w:val="28"/>
        </w:rPr>
        <w:t>fairness</w:t>
      </w:r>
      <w:proofErr w:type="gramEnd"/>
      <w:r w:rsidR="00433899" w:rsidRPr="00391AAB">
        <w:rPr>
          <w:rFonts w:ascii="Arial" w:hAnsi="Arial" w:cs="Arial"/>
          <w:b/>
          <w:bCs/>
          <w:sz w:val="28"/>
          <w:szCs w:val="28"/>
        </w:rPr>
        <w:t xml:space="preserve"> and transparency</w:t>
      </w:r>
    </w:p>
    <w:p w14:paraId="1C98BB68" w14:textId="5717CD45" w:rsidR="00C452A6" w:rsidRDefault="00E927C8">
      <w:pPr>
        <w:rPr>
          <w:rFonts w:ascii="Arial" w:hAnsi="Arial" w:cs="Arial"/>
          <w:sz w:val="24"/>
          <w:szCs w:val="24"/>
        </w:rPr>
      </w:pPr>
      <w:r>
        <w:rPr>
          <w:rFonts w:ascii="Arial" w:hAnsi="Arial" w:cs="Arial"/>
          <w:sz w:val="24"/>
          <w:szCs w:val="24"/>
        </w:rPr>
        <w:t xml:space="preserve">To ensure our processing is lawful, </w:t>
      </w:r>
      <w:proofErr w:type="gramStart"/>
      <w:r>
        <w:rPr>
          <w:rFonts w:ascii="Arial" w:hAnsi="Arial" w:cs="Arial"/>
          <w:sz w:val="24"/>
          <w:szCs w:val="24"/>
        </w:rPr>
        <w:t>fair</w:t>
      </w:r>
      <w:proofErr w:type="gramEnd"/>
      <w:r>
        <w:rPr>
          <w:rFonts w:ascii="Arial" w:hAnsi="Arial" w:cs="Arial"/>
          <w:sz w:val="24"/>
          <w:szCs w:val="24"/>
        </w:rPr>
        <w:t xml:space="preserve"> and transparent, we:</w:t>
      </w:r>
    </w:p>
    <w:p w14:paraId="1074D108" w14:textId="4E765464" w:rsidR="00B67929" w:rsidRDefault="00E927C8" w:rsidP="00E86C21">
      <w:pPr>
        <w:pStyle w:val="ListParagraph"/>
        <w:numPr>
          <w:ilvl w:val="0"/>
          <w:numId w:val="11"/>
        </w:numPr>
        <w:rPr>
          <w:rFonts w:ascii="Arial" w:hAnsi="Arial" w:cs="Arial"/>
          <w:sz w:val="24"/>
          <w:szCs w:val="24"/>
        </w:rPr>
      </w:pPr>
      <w:r>
        <w:rPr>
          <w:rFonts w:ascii="Arial" w:hAnsi="Arial" w:cs="Arial"/>
          <w:sz w:val="24"/>
          <w:szCs w:val="24"/>
        </w:rPr>
        <w:t>M</w:t>
      </w:r>
      <w:r w:rsidR="00FA7074" w:rsidRPr="00E86C21">
        <w:rPr>
          <w:rFonts w:ascii="Arial" w:hAnsi="Arial" w:cs="Arial"/>
          <w:sz w:val="24"/>
          <w:szCs w:val="24"/>
        </w:rPr>
        <w:t>aintain a Record of Processing Activity via our Information Asset Register.</w:t>
      </w:r>
    </w:p>
    <w:p w14:paraId="2E6D3971" w14:textId="3CECB98D" w:rsidR="008442B4" w:rsidRPr="008442B4" w:rsidRDefault="00E86C21" w:rsidP="008442B4">
      <w:pPr>
        <w:numPr>
          <w:ilvl w:val="0"/>
          <w:numId w:val="12"/>
        </w:numPr>
        <w:contextualSpacing/>
        <w:rPr>
          <w:rFonts w:ascii="Arial" w:hAnsi="Arial"/>
          <w:sz w:val="24"/>
        </w:rPr>
      </w:pPr>
      <w:r w:rsidRPr="008442B4">
        <w:rPr>
          <w:rFonts w:ascii="Arial" w:hAnsi="Arial" w:cs="Arial"/>
          <w:sz w:val="24"/>
          <w:szCs w:val="24"/>
        </w:rPr>
        <w:t xml:space="preserve">Ensure that an appropriate lawful basis is applied </w:t>
      </w:r>
      <w:r w:rsidR="008442B4" w:rsidRPr="008442B4">
        <w:rPr>
          <w:rFonts w:ascii="Arial" w:hAnsi="Arial"/>
          <w:sz w:val="24"/>
        </w:rPr>
        <w:t xml:space="preserve">is applied under </w:t>
      </w:r>
      <w:r w:rsidR="007D0671">
        <w:rPr>
          <w:rFonts w:ascii="Arial" w:hAnsi="Arial"/>
          <w:sz w:val="24"/>
        </w:rPr>
        <w:t>A</w:t>
      </w:r>
      <w:r w:rsidR="008442B4" w:rsidRPr="008442B4">
        <w:rPr>
          <w:rFonts w:ascii="Arial" w:hAnsi="Arial"/>
          <w:sz w:val="24"/>
        </w:rPr>
        <w:t xml:space="preserve">rticles 6 and 9 conditions under Schedule 1 of the </w:t>
      </w:r>
      <w:proofErr w:type="spellStart"/>
      <w:r w:rsidR="008442B4" w:rsidRPr="008442B4">
        <w:rPr>
          <w:rFonts w:ascii="Arial" w:hAnsi="Arial"/>
          <w:sz w:val="24"/>
        </w:rPr>
        <w:t>DPA18</w:t>
      </w:r>
      <w:proofErr w:type="spellEnd"/>
      <w:r w:rsidR="008442B4" w:rsidRPr="008442B4">
        <w:rPr>
          <w:rFonts w:ascii="Arial" w:hAnsi="Arial"/>
          <w:sz w:val="24"/>
        </w:rPr>
        <w:t xml:space="preserve"> for all processing of special category data.</w:t>
      </w:r>
    </w:p>
    <w:p w14:paraId="27CA8B8A" w14:textId="623F5477" w:rsidR="00433899" w:rsidRPr="00E927C8" w:rsidRDefault="00A35D24" w:rsidP="00E927C8">
      <w:pPr>
        <w:pStyle w:val="ListParagraph"/>
        <w:numPr>
          <w:ilvl w:val="0"/>
          <w:numId w:val="11"/>
        </w:numPr>
        <w:rPr>
          <w:rFonts w:ascii="Arial" w:hAnsi="Arial" w:cs="Arial"/>
          <w:sz w:val="24"/>
          <w:szCs w:val="24"/>
        </w:rPr>
      </w:pPr>
      <w:r>
        <w:rPr>
          <w:rFonts w:ascii="Arial" w:hAnsi="Arial" w:cs="Arial"/>
          <w:sz w:val="24"/>
          <w:szCs w:val="24"/>
        </w:rPr>
        <w:t>Publish</w:t>
      </w:r>
      <w:r w:rsidR="002E72B6">
        <w:rPr>
          <w:rFonts w:ascii="Arial" w:hAnsi="Arial" w:cs="Arial"/>
          <w:sz w:val="24"/>
          <w:szCs w:val="24"/>
        </w:rPr>
        <w:t xml:space="preserve"> and regularly review</w:t>
      </w:r>
      <w:r>
        <w:rPr>
          <w:rFonts w:ascii="Arial" w:hAnsi="Arial" w:cs="Arial"/>
          <w:sz w:val="24"/>
          <w:szCs w:val="24"/>
        </w:rPr>
        <w:t xml:space="preserve"> privacy notices for each of our core service delivery functions and </w:t>
      </w:r>
      <w:r w:rsidR="00862043">
        <w:rPr>
          <w:rFonts w:ascii="Arial" w:hAnsi="Arial" w:cs="Arial"/>
          <w:sz w:val="24"/>
          <w:szCs w:val="24"/>
        </w:rPr>
        <w:t xml:space="preserve">provide an internal privacy notice </w:t>
      </w:r>
      <w:r w:rsidR="002F4C59">
        <w:rPr>
          <w:rFonts w:ascii="Arial" w:hAnsi="Arial" w:cs="Arial"/>
          <w:sz w:val="24"/>
          <w:szCs w:val="24"/>
        </w:rPr>
        <w:t>for all employee related dat</w:t>
      </w:r>
      <w:r w:rsidR="00E927C8">
        <w:rPr>
          <w:rFonts w:ascii="Arial" w:hAnsi="Arial" w:cs="Arial"/>
          <w:sz w:val="24"/>
          <w:szCs w:val="24"/>
        </w:rPr>
        <w:t>a.</w:t>
      </w:r>
    </w:p>
    <w:p w14:paraId="6810FE2B" w14:textId="07F2C7A9" w:rsidR="00433899" w:rsidRPr="00391AAB" w:rsidRDefault="00322E74">
      <w:pPr>
        <w:rPr>
          <w:rFonts w:ascii="Arial" w:hAnsi="Arial" w:cs="Arial"/>
          <w:b/>
          <w:bCs/>
          <w:sz w:val="28"/>
          <w:szCs w:val="28"/>
        </w:rPr>
      </w:pPr>
      <w:r w:rsidRPr="00391AAB">
        <w:rPr>
          <w:rFonts w:ascii="Arial" w:hAnsi="Arial" w:cs="Arial"/>
          <w:b/>
          <w:bCs/>
          <w:sz w:val="28"/>
          <w:szCs w:val="28"/>
        </w:rPr>
        <w:t>Purpose</w:t>
      </w:r>
      <w:r w:rsidR="00433899" w:rsidRPr="00391AAB">
        <w:rPr>
          <w:rFonts w:ascii="Arial" w:hAnsi="Arial" w:cs="Arial"/>
          <w:b/>
          <w:bCs/>
          <w:sz w:val="28"/>
          <w:szCs w:val="28"/>
        </w:rPr>
        <w:t xml:space="preserve"> limitation</w:t>
      </w:r>
    </w:p>
    <w:p w14:paraId="117207CC" w14:textId="4027E42E" w:rsidR="004D3E7D" w:rsidRPr="004D3E7D" w:rsidRDefault="004D3E7D">
      <w:pPr>
        <w:rPr>
          <w:rFonts w:ascii="Arial" w:hAnsi="Arial" w:cs="Arial"/>
          <w:sz w:val="24"/>
          <w:szCs w:val="24"/>
        </w:rPr>
      </w:pPr>
      <w:r w:rsidRPr="004D3E7D">
        <w:rPr>
          <w:rFonts w:ascii="Arial" w:hAnsi="Arial" w:cs="Arial"/>
          <w:sz w:val="24"/>
          <w:szCs w:val="24"/>
        </w:rPr>
        <w:t>To comply with this principle, we</w:t>
      </w:r>
      <w:r>
        <w:rPr>
          <w:rFonts w:ascii="Arial" w:hAnsi="Arial" w:cs="Arial"/>
          <w:sz w:val="24"/>
          <w:szCs w:val="24"/>
        </w:rPr>
        <w:t xml:space="preserve"> have</w:t>
      </w:r>
      <w:r w:rsidRPr="004D3E7D">
        <w:rPr>
          <w:rFonts w:ascii="Arial" w:hAnsi="Arial" w:cs="Arial"/>
          <w:sz w:val="24"/>
          <w:szCs w:val="24"/>
        </w:rPr>
        <w:t>:</w:t>
      </w:r>
    </w:p>
    <w:p w14:paraId="102FFE20" w14:textId="55698D27" w:rsidR="00F37B0C" w:rsidRPr="004D3E7D" w:rsidRDefault="00F37B0C" w:rsidP="004D3E7D">
      <w:pPr>
        <w:pStyle w:val="ListParagraph"/>
        <w:numPr>
          <w:ilvl w:val="0"/>
          <w:numId w:val="11"/>
        </w:numPr>
        <w:rPr>
          <w:rFonts w:ascii="Arial" w:hAnsi="Arial" w:cs="Arial"/>
          <w:sz w:val="24"/>
          <w:szCs w:val="24"/>
        </w:rPr>
      </w:pPr>
      <w:r w:rsidRPr="004D3E7D">
        <w:rPr>
          <w:rFonts w:ascii="Arial" w:hAnsi="Arial" w:cs="Arial"/>
          <w:sz w:val="24"/>
          <w:szCs w:val="24"/>
        </w:rPr>
        <w:t xml:space="preserve">clear terms and conditions and appropriate agreements in place when working with third parties to </w:t>
      </w:r>
      <w:r w:rsidR="0032380F" w:rsidRPr="004D3E7D">
        <w:rPr>
          <w:rFonts w:ascii="Arial" w:hAnsi="Arial" w:cs="Arial"/>
          <w:sz w:val="24"/>
          <w:szCs w:val="24"/>
        </w:rPr>
        <w:t>set out the required processing purposes.</w:t>
      </w:r>
    </w:p>
    <w:p w14:paraId="370A1233" w14:textId="64B68BBB" w:rsidR="00433899" w:rsidRPr="004D3E7D" w:rsidRDefault="0032380F" w:rsidP="004D3E7D">
      <w:pPr>
        <w:pStyle w:val="ListParagraph"/>
        <w:numPr>
          <w:ilvl w:val="0"/>
          <w:numId w:val="11"/>
        </w:numPr>
        <w:rPr>
          <w:rFonts w:ascii="Arial" w:hAnsi="Arial" w:cs="Arial"/>
          <w:sz w:val="24"/>
          <w:szCs w:val="24"/>
        </w:rPr>
      </w:pPr>
      <w:r w:rsidRPr="004D3E7D">
        <w:rPr>
          <w:rFonts w:ascii="Arial" w:hAnsi="Arial" w:cs="Arial"/>
          <w:sz w:val="24"/>
          <w:szCs w:val="24"/>
        </w:rPr>
        <w:lastRenderedPageBreak/>
        <w:t>procedures in place to determine incompatible processing.</w:t>
      </w:r>
    </w:p>
    <w:p w14:paraId="6F9A43B9" w14:textId="5E021C91" w:rsidR="00433899" w:rsidRPr="00391AAB" w:rsidRDefault="00322E74">
      <w:pPr>
        <w:rPr>
          <w:rFonts w:ascii="Arial" w:hAnsi="Arial" w:cs="Arial"/>
          <w:b/>
          <w:bCs/>
          <w:sz w:val="28"/>
          <w:szCs w:val="28"/>
        </w:rPr>
      </w:pPr>
      <w:r w:rsidRPr="00391AAB">
        <w:rPr>
          <w:rFonts w:ascii="Arial" w:hAnsi="Arial" w:cs="Arial"/>
          <w:b/>
          <w:bCs/>
          <w:sz w:val="28"/>
          <w:szCs w:val="28"/>
        </w:rPr>
        <w:t>Data</w:t>
      </w:r>
      <w:r w:rsidR="00433899" w:rsidRPr="00391AAB">
        <w:rPr>
          <w:rFonts w:ascii="Arial" w:hAnsi="Arial" w:cs="Arial"/>
          <w:b/>
          <w:bCs/>
          <w:sz w:val="28"/>
          <w:szCs w:val="28"/>
        </w:rPr>
        <w:t xml:space="preserve"> minimisation</w:t>
      </w:r>
    </w:p>
    <w:p w14:paraId="73CBC9EB" w14:textId="2E28D42C" w:rsidR="004D3E7D" w:rsidRPr="00835E6A" w:rsidRDefault="00835E6A">
      <w:pPr>
        <w:rPr>
          <w:rFonts w:ascii="Arial" w:hAnsi="Arial" w:cs="Arial"/>
          <w:sz w:val="24"/>
          <w:szCs w:val="24"/>
        </w:rPr>
      </w:pPr>
      <w:r w:rsidRPr="00835E6A">
        <w:rPr>
          <w:rFonts w:ascii="Arial" w:hAnsi="Arial" w:cs="Arial"/>
          <w:sz w:val="24"/>
          <w:szCs w:val="24"/>
        </w:rPr>
        <w:t>To ensure we process the minimum amount of special category data, we:</w:t>
      </w:r>
    </w:p>
    <w:p w14:paraId="0B97A7B5" w14:textId="444FBD2B" w:rsidR="00433899" w:rsidRPr="00C21F1A" w:rsidRDefault="00835E6A" w:rsidP="00C21F1A">
      <w:pPr>
        <w:pStyle w:val="ListParagraph"/>
        <w:numPr>
          <w:ilvl w:val="0"/>
          <w:numId w:val="16"/>
        </w:numPr>
        <w:rPr>
          <w:rFonts w:ascii="Arial" w:hAnsi="Arial" w:cs="Arial"/>
          <w:sz w:val="24"/>
          <w:szCs w:val="24"/>
        </w:rPr>
      </w:pPr>
      <w:r w:rsidRPr="00C21F1A">
        <w:rPr>
          <w:rFonts w:ascii="Arial" w:hAnsi="Arial" w:cs="Arial"/>
          <w:sz w:val="24"/>
          <w:szCs w:val="24"/>
        </w:rPr>
        <w:t>H</w:t>
      </w:r>
      <w:r w:rsidR="000E6023" w:rsidRPr="00C21F1A">
        <w:rPr>
          <w:rFonts w:ascii="Arial" w:hAnsi="Arial" w:cs="Arial"/>
          <w:sz w:val="24"/>
          <w:szCs w:val="24"/>
        </w:rPr>
        <w:t xml:space="preserve">ave </w:t>
      </w:r>
      <w:r w:rsidR="000D54D6" w:rsidRPr="00C21F1A">
        <w:rPr>
          <w:rFonts w:ascii="Arial" w:hAnsi="Arial" w:cs="Arial"/>
          <w:sz w:val="24"/>
          <w:szCs w:val="24"/>
        </w:rPr>
        <w:t>an information screening process in place as part of a wider Information Governance Impact Assessment, to ensure that information value is understood and monitored.</w:t>
      </w:r>
    </w:p>
    <w:p w14:paraId="091487F1" w14:textId="76A6CA78" w:rsidR="00433899" w:rsidRPr="00C21F1A" w:rsidRDefault="00C21F1A" w:rsidP="00C21F1A">
      <w:pPr>
        <w:pStyle w:val="ListParagraph"/>
        <w:numPr>
          <w:ilvl w:val="0"/>
          <w:numId w:val="16"/>
        </w:numPr>
        <w:rPr>
          <w:rFonts w:ascii="Arial" w:hAnsi="Arial" w:cs="Arial"/>
          <w:sz w:val="24"/>
          <w:szCs w:val="24"/>
        </w:rPr>
      </w:pPr>
      <w:r w:rsidRPr="00C21F1A">
        <w:rPr>
          <w:rFonts w:ascii="Arial" w:hAnsi="Arial" w:cs="Arial"/>
          <w:sz w:val="24"/>
          <w:szCs w:val="24"/>
        </w:rPr>
        <w:t>C</w:t>
      </w:r>
      <w:r w:rsidR="004D232F" w:rsidRPr="00C21F1A">
        <w:rPr>
          <w:rFonts w:ascii="Arial" w:hAnsi="Arial" w:cs="Arial"/>
          <w:sz w:val="24"/>
          <w:szCs w:val="24"/>
        </w:rPr>
        <w:t>hallenge the necessity for special category data processing where business need is unjustified.</w:t>
      </w:r>
    </w:p>
    <w:p w14:paraId="3A5FA3D2" w14:textId="7D049D32" w:rsidR="00433899" w:rsidRPr="00391AAB" w:rsidRDefault="000F3DC9">
      <w:pPr>
        <w:rPr>
          <w:rFonts w:ascii="Arial" w:hAnsi="Arial" w:cs="Arial"/>
          <w:b/>
          <w:bCs/>
          <w:sz w:val="28"/>
          <w:szCs w:val="28"/>
        </w:rPr>
      </w:pPr>
      <w:r w:rsidRPr="00391AAB">
        <w:rPr>
          <w:rFonts w:ascii="Arial" w:hAnsi="Arial" w:cs="Arial"/>
          <w:b/>
          <w:bCs/>
          <w:sz w:val="28"/>
          <w:szCs w:val="28"/>
        </w:rPr>
        <w:t>Data accuracy</w:t>
      </w:r>
    </w:p>
    <w:p w14:paraId="1F755355" w14:textId="18F2D17B" w:rsidR="00297FE2" w:rsidRPr="00391AAB" w:rsidRDefault="002A7EFC">
      <w:pPr>
        <w:rPr>
          <w:rFonts w:ascii="Arial" w:hAnsi="Arial" w:cs="Arial"/>
          <w:sz w:val="24"/>
          <w:szCs w:val="24"/>
        </w:rPr>
      </w:pPr>
      <w:r w:rsidRPr="00391AAB">
        <w:rPr>
          <w:rFonts w:ascii="Arial" w:hAnsi="Arial" w:cs="Arial"/>
          <w:sz w:val="24"/>
          <w:szCs w:val="24"/>
        </w:rPr>
        <w:t>To comply</w:t>
      </w:r>
      <w:r w:rsidR="00297FE2" w:rsidRPr="00391AAB">
        <w:rPr>
          <w:rFonts w:ascii="Arial" w:hAnsi="Arial" w:cs="Arial"/>
          <w:sz w:val="24"/>
          <w:szCs w:val="24"/>
        </w:rPr>
        <w:t xml:space="preserve"> with the data accuracy principle, we:</w:t>
      </w:r>
    </w:p>
    <w:p w14:paraId="7D3E15C1" w14:textId="4AB19E21" w:rsidR="00B230A2" w:rsidRPr="00297FE2" w:rsidRDefault="00297FE2" w:rsidP="00297FE2">
      <w:pPr>
        <w:pStyle w:val="ListParagraph"/>
        <w:numPr>
          <w:ilvl w:val="0"/>
          <w:numId w:val="13"/>
        </w:numPr>
        <w:rPr>
          <w:rFonts w:ascii="Arial" w:hAnsi="Arial" w:cs="Arial"/>
          <w:sz w:val="24"/>
          <w:szCs w:val="24"/>
        </w:rPr>
      </w:pPr>
      <w:r>
        <w:rPr>
          <w:rFonts w:ascii="Arial" w:hAnsi="Arial" w:cs="Arial"/>
          <w:sz w:val="24"/>
          <w:szCs w:val="24"/>
        </w:rPr>
        <w:t>Take</w:t>
      </w:r>
      <w:r w:rsidR="00B230A2" w:rsidRPr="00297FE2">
        <w:rPr>
          <w:rFonts w:ascii="Arial" w:hAnsi="Arial" w:cs="Arial"/>
          <w:sz w:val="24"/>
          <w:szCs w:val="24"/>
        </w:rPr>
        <w:t xml:space="preserve"> reasonable steps to ensure that data is rectified or erased when notified that is inaccurate.</w:t>
      </w:r>
    </w:p>
    <w:p w14:paraId="5C351EE1" w14:textId="69C4BE70" w:rsidR="00B230A2" w:rsidRPr="00670369" w:rsidRDefault="00297FE2" w:rsidP="00670369">
      <w:pPr>
        <w:pStyle w:val="ListParagraph"/>
        <w:numPr>
          <w:ilvl w:val="0"/>
          <w:numId w:val="13"/>
        </w:numPr>
        <w:rPr>
          <w:rFonts w:ascii="Arial" w:hAnsi="Arial" w:cs="Arial"/>
          <w:sz w:val="24"/>
          <w:szCs w:val="24"/>
        </w:rPr>
      </w:pPr>
      <w:r>
        <w:rPr>
          <w:rFonts w:ascii="Arial" w:hAnsi="Arial" w:cs="Arial"/>
          <w:sz w:val="24"/>
          <w:szCs w:val="24"/>
        </w:rPr>
        <w:t>Document</w:t>
      </w:r>
      <w:r w:rsidR="000F3DC9" w:rsidRPr="00297FE2">
        <w:rPr>
          <w:rFonts w:ascii="Arial" w:hAnsi="Arial" w:cs="Arial"/>
          <w:sz w:val="24"/>
          <w:szCs w:val="24"/>
        </w:rPr>
        <w:t xml:space="preserve"> any decision taken not to correct data where rights to rectification do not apply.</w:t>
      </w:r>
    </w:p>
    <w:p w14:paraId="4B827689" w14:textId="41838E8A" w:rsidR="00433899" w:rsidRPr="00391AAB" w:rsidRDefault="000F3DC9">
      <w:pPr>
        <w:rPr>
          <w:rFonts w:ascii="Arial" w:hAnsi="Arial" w:cs="Arial"/>
          <w:b/>
          <w:bCs/>
          <w:sz w:val="28"/>
          <w:szCs w:val="28"/>
        </w:rPr>
      </w:pPr>
      <w:r w:rsidRPr="00391AAB">
        <w:rPr>
          <w:rFonts w:ascii="Arial" w:hAnsi="Arial" w:cs="Arial"/>
          <w:b/>
          <w:bCs/>
          <w:sz w:val="28"/>
          <w:szCs w:val="28"/>
        </w:rPr>
        <w:t>Storage limitation</w:t>
      </w:r>
    </w:p>
    <w:p w14:paraId="103996AF" w14:textId="004826EE" w:rsidR="00F94E92" w:rsidRDefault="00C21F1A">
      <w:pPr>
        <w:rPr>
          <w:rFonts w:ascii="Arial" w:hAnsi="Arial" w:cs="Arial"/>
          <w:sz w:val="24"/>
          <w:szCs w:val="24"/>
        </w:rPr>
      </w:pPr>
      <w:r>
        <w:rPr>
          <w:rFonts w:ascii="Arial" w:hAnsi="Arial" w:cs="Arial"/>
          <w:sz w:val="24"/>
          <w:szCs w:val="24"/>
        </w:rPr>
        <w:t xml:space="preserve">To </w:t>
      </w:r>
      <w:r w:rsidR="009460D2">
        <w:rPr>
          <w:rFonts w:ascii="Arial" w:hAnsi="Arial" w:cs="Arial"/>
          <w:sz w:val="24"/>
          <w:szCs w:val="24"/>
        </w:rPr>
        <w:t>ensure that we do not keep data longer than required, we:</w:t>
      </w:r>
    </w:p>
    <w:p w14:paraId="71E29325" w14:textId="32EE99C5" w:rsidR="00F94E92" w:rsidRPr="002A7EFC" w:rsidRDefault="00E927C8" w:rsidP="002A7EFC">
      <w:pPr>
        <w:pStyle w:val="ListParagraph"/>
        <w:numPr>
          <w:ilvl w:val="0"/>
          <w:numId w:val="14"/>
        </w:numPr>
        <w:rPr>
          <w:rFonts w:ascii="Arial" w:hAnsi="Arial" w:cs="Arial"/>
          <w:sz w:val="24"/>
          <w:szCs w:val="24"/>
        </w:rPr>
      </w:pPr>
      <w:r>
        <w:rPr>
          <w:rFonts w:ascii="Arial" w:hAnsi="Arial" w:cs="Arial"/>
          <w:sz w:val="24"/>
          <w:szCs w:val="24"/>
        </w:rPr>
        <w:t>Document</w:t>
      </w:r>
      <w:r w:rsidR="001108F8" w:rsidRPr="002A7EFC">
        <w:rPr>
          <w:rFonts w:ascii="Arial" w:hAnsi="Arial" w:cs="Arial"/>
          <w:sz w:val="24"/>
          <w:szCs w:val="24"/>
        </w:rPr>
        <w:t xml:space="preserve"> retention schedules for each special category processing purpose within our Information Asset Register</w:t>
      </w:r>
      <w:r w:rsidR="003211A5" w:rsidRPr="002A7EFC">
        <w:rPr>
          <w:rFonts w:ascii="Arial" w:hAnsi="Arial" w:cs="Arial"/>
          <w:sz w:val="24"/>
          <w:szCs w:val="24"/>
        </w:rPr>
        <w:t xml:space="preserve"> and regularly review these.</w:t>
      </w:r>
    </w:p>
    <w:p w14:paraId="75D6CD87" w14:textId="206637A6" w:rsidR="00433899" w:rsidRPr="00670369" w:rsidRDefault="003A0D83" w:rsidP="00670369">
      <w:pPr>
        <w:pStyle w:val="ListParagraph"/>
        <w:numPr>
          <w:ilvl w:val="0"/>
          <w:numId w:val="14"/>
        </w:numPr>
        <w:rPr>
          <w:rFonts w:ascii="Arial" w:hAnsi="Arial" w:cs="Arial"/>
          <w:sz w:val="24"/>
          <w:szCs w:val="24"/>
        </w:rPr>
      </w:pPr>
      <w:r w:rsidRPr="002A7EFC">
        <w:rPr>
          <w:rFonts w:ascii="Arial" w:hAnsi="Arial" w:cs="Arial"/>
          <w:sz w:val="24"/>
          <w:szCs w:val="24"/>
        </w:rPr>
        <w:t xml:space="preserve">Obtain annual assurance from our Information Asset Owners that retention schedules are being </w:t>
      </w:r>
      <w:r w:rsidR="00D31F51" w:rsidRPr="002A7EFC">
        <w:rPr>
          <w:rFonts w:ascii="Arial" w:hAnsi="Arial" w:cs="Arial"/>
          <w:sz w:val="24"/>
          <w:szCs w:val="24"/>
        </w:rPr>
        <w:t>managed and applied</w:t>
      </w:r>
      <w:r w:rsidR="003211A5" w:rsidRPr="002A7EFC">
        <w:rPr>
          <w:rFonts w:ascii="Arial" w:hAnsi="Arial" w:cs="Arial"/>
          <w:sz w:val="24"/>
          <w:szCs w:val="24"/>
        </w:rPr>
        <w:t>.</w:t>
      </w:r>
    </w:p>
    <w:p w14:paraId="743537D5" w14:textId="32B7CEF6" w:rsidR="00433899" w:rsidRPr="00391AAB" w:rsidRDefault="003211A5">
      <w:pPr>
        <w:rPr>
          <w:rFonts w:ascii="Arial" w:hAnsi="Arial" w:cs="Arial"/>
          <w:b/>
          <w:bCs/>
          <w:sz w:val="28"/>
          <w:szCs w:val="28"/>
        </w:rPr>
      </w:pPr>
      <w:r w:rsidRPr="00391AAB">
        <w:rPr>
          <w:rFonts w:ascii="Arial" w:hAnsi="Arial" w:cs="Arial"/>
          <w:b/>
          <w:bCs/>
          <w:sz w:val="28"/>
          <w:szCs w:val="28"/>
        </w:rPr>
        <w:t>Integrity</w:t>
      </w:r>
      <w:r w:rsidR="00433899" w:rsidRPr="00391AAB">
        <w:rPr>
          <w:rFonts w:ascii="Arial" w:hAnsi="Arial" w:cs="Arial"/>
          <w:b/>
          <w:bCs/>
          <w:sz w:val="28"/>
          <w:szCs w:val="28"/>
        </w:rPr>
        <w:t xml:space="preserve"> and confidentiality</w:t>
      </w:r>
    </w:p>
    <w:p w14:paraId="7E9A948E" w14:textId="0A0D38C7" w:rsidR="00433899" w:rsidRDefault="00E927C8">
      <w:pPr>
        <w:rPr>
          <w:rFonts w:ascii="Arial" w:hAnsi="Arial" w:cs="Arial"/>
          <w:sz w:val="24"/>
          <w:szCs w:val="24"/>
        </w:rPr>
      </w:pPr>
      <w:r>
        <w:rPr>
          <w:rFonts w:ascii="Arial" w:hAnsi="Arial" w:cs="Arial"/>
          <w:sz w:val="24"/>
          <w:szCs w:val="24"/>
        </w:rPr>
        <w:t>To comply with this principle, we:</w:t>
      </w:r>
    </w:p>
    <w:p w14:paraId="704E3024" w14:textId="558EBBED" w:rsidR="003211A5" w:rsidRPr="00E927C8" w:rsidRDefault="00A7102F" w:rsidP="00E927C8">
      <w:pPr>
        <w:pStyle w:val="ListParagraph"/>
        <w:numPr>
          <w:ilvl w:val="0"/>
          <w:numId w:val="15"/>
        </w:numPr>
        <w:rPr>
          <w:rFonts w:ascii="Arial" w:hAnsi="Arial" w:cs="Arial"/>
          <w:sz w:val="24"/>
          <w:szCs w:val="24"/>
        </w:rPr>
      </w:pPr>
      <w:r w:rsidRPr="00E927C8">
        <w:rPr>
          <w:rFonts w:ascii="Arial" w:hAnsi="Arial" w:cs="Arial"/>
          <w:sz w:val="24"/>
          <w:szCs w:val="24"/>
        </w:rPr>
        <w:t>Have in place a suite of acceptable use and information security procedures</w:t>
      </w:r>
    </w:p>
    <w:p w14:paraId="3D4B725E" w14:textId="06C703D4" w:rsidR="00A7102F" w:rsidRPr="00E927C8" w:rsidRDefault="00A7102F" w:rsidP="00E927C8">
      <w:pPr>
        <w:pStyle w:val="ListParagraph"/>
        <w:numPr>
          <w:ilvl w:val="0"/>
          <w:numId w:val="15"/>
        </w:numPr>
        <w:rPr>
          <w:rFonts w:ascii="Arial" w:hAnsi="Arial" w:cs="Arial"/>
          <w:sz w:val="24"/>
          <w:szCs w:val="24"/>
        </w:rPr>
      </w:pPr>
      <w:r w:rsidRPr="00E927C8">
        <w:rPr>
          <w:rFonts w:ascii="Arial" w:hAnsi="Arial" w:cs="Arial"/>
          <w:sz w:val="24"/>
          <w:szCs w:val="24"/>
        </w:rPr>
        <w:t xml:space="preserve">Undertake technical security assessments (as part of a wider information governance impact assessment) </w:t>
      </w:r>
      <w:r w:rsidR="00FD3B6F" w:rsidRPr="00E927C8">
        <w:rPr>
          <w:rFonts w:ascii="Arial" w:hAnsi="Arial" w:cs="Arial"/>
          <w:sz w:val="24"/>
          <w:szCs w:val="24"/>
        </w:rPr>
        <w:t>for</w:t>
      </w:r>
      <w:r w:rsidR="00A328DF" w:rsidRPr="00E927C8">
        <w:rPr>
          <w:rFonts w:ascii="Arial" w:hAnsi="Arial" w:cs="Arial"/>
          <w:sz w:val="24"/>
          <w:szCs w:val="24"/>
        </w:rPr>
        <w:t xml:space="preserve"> new</w:t>
      </w:r>
      <w:r w:rsidR="00FD3B6F" w:rsidRPr="00E927C8">
        <w:rPr>
          <w:rFonts w:ascii="Arial" w:hAnsi="Arial" w:cs="Arial"/>
          <w:sz w:val="24"/>
          <w:szCs w:val="24"/>
        </w:rPr>
        <w:t xml:space="preserve"> or changes to</w:t>
      </w:r>
      <w:r w:rsidR="00A328DF" w:rsidRPr="00E927C8">
        <w:rPr>
          <w:rFonts w:ascii="Arial" w:hAnsi="Arial" w:cs="Arial"/>
          <w:sz w:val="24"/>
          <w:szCs w:val="24"/>
        </w:rPr>
        <w:t xml:space="preserve"> </w:t>
      </w:r>
      <w:r w:rsidR="00FD3B6F" w:rsidRPr="00E927C8">
        <w:rPr>
          <w:rFonts w:ascii="Arial" w:hAnsi="Arial" w:cs="Arial"/>
          <w:sz w:val="24"/>
          <w:szCs w:val="24"/>
        </w:rPr>
        <w:t>systems and software</w:t>
      </w:r>
    </w:p>
    <w:p w14:paraId="0F8FD1F5" w14:textId="6AFE5AF9" w:rsidR="0099292B" w:rsidRPr="00E927C8" w:rsidRDefault="0099292B" w:rsidP="00E927C8">
      <w:pPr>
        <w:pStyle w:val="ListParagraph"/>
        <w:numPr>
          <w:ilvl w:val="0"/>
          <w:numId w:val="15"/>
        </w:numPr>
        <w:rPr>
          <w:rFonts w:ascii="Arial" w:hAnsi="Arial" w:cs="Arial"/>
          <w:sz w:val="24"/>
          <w:szCs w:val="24"/>
        </w:rPr>
      </w:pPr>
      <w:r w:rsidRPr="00E927C8">
        <w:rPr>
          <w:rFonts w:ascii="Arial" w:hAnsi="Arial" w:cs="Arial"/>
          <w:sz w:val="24"/>
          <w:szCs w:val="24"/>
        </w:rPr>
        <w:t>Have data processor agreements in place with third parties to ensure that they adhere to our expectations for securely managing our information</w:t>
      </w:r>
    </w:p>
    <w:p w14:paraId="18A205AA" w14:textId="054ED9B7" w:rsidR="00011E6D" w:rsidRPr="00E927C8" w:rsidRDefault="005A00E4" w:rsidP="00E927C8">
      <w:pPr>
        <w:pStyle w:val="ListParagraph"/>
        <w:numPr>
          <w:ilvl w:val="0"/>
          <w:numId w:val="15"/>
        </w:numPr>
        <w:rPr>
          <w:rFonts w:ascii="Arial" w:hAnsi="Arial" w:cs="Arial"/>
          <w:sz w:val="24"/>
          <w:szCs w:val="24"/>
        </w:rPr>
      </w:pPr>
      <w:r w:rsidRPr="00E927C8">
        <w:rPr>
          <w:rFonts w:ascii="Arial" w:hAnsi="Arial" w:cs="Arial"/>
          <w:sz w:val="24"/>
          <w:szCs w:val="24"/>
        </w:rPr>
        <w:t>Ensure all our staff undertake regular data protection and information security training</w:t>
      </w:r>
      <w:r w:rsidR="00256612" w:rsidRPr="00E927C8">
        <w:rPr>
          <w:rFonts w:ascii="Arial" w:hAnsi="Arial" w:cs="Arial"/>
          <w:sz w:val="24"/>
          <w:szCs w:val="24"/>
        </w:rPr>
        <w:t>.</w:t>
      </w:r>
    </w:p>
    <w:p w14:paraId="7C83BBE4" w14:textId="77777777" w:rsidR="00433899" w:rsidRPr="00D07FC6" w:rsidRDefault="00433899">
      <w:pPr>
        <w:rPr>
          <w:rFonts w:ascii="Arial" w:hAnsi="Arial" w:cs="Arial"/>
          <w:sz w:val="24"/>
          <w:szCs w:val="24"/>
        </w:rPr>
      </w:pPr>
    </w:p>
    <w:p w14:paraId="10D5212B" w14:textId="5B662E9C" w:rsidR="00AC0D1D" w:rsidRPr="00D07FC6" w:rsidRDefault="00AC0D1D">
      <w:pPr>
        <w:rPr>
          <w:rFonts w:ascii="Arial" w:hAnsi="Arial" w:cs="Arial"/>
          <w:sz w:val="24"/>
          <w:szCs w:val="24"/>
        </w:rPr>
      </w:pPr>
    </w:p>
    <w:p w14:paraId="7A16F527" w14:textId="77777777" w:rsidR="00AC0D1D" w:rsidRPr="00D07FC6" w:rsidRDefault="00AC0D1D">
      <w:pPr>
        <w:rPr>
          <w:rFonts w:ascii="Arial" w:hAnsi="Arial" w:cs="Arial"/>
          <w:sz w:val="24"/>
          <w:szCs w:val="24"/>
        </w:rPr>
      </w:pPr>
    </w:p>
    <w:sectPr w:rsidR="00AC0D1D" w:rsidRPr="00D07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F0333"/>
    <w:multiLevelType w:val="hybridMultilevel"/>
    <w:tmpl w:val="D52C92C8"/>
    <w:lvl w:ilvl="0" w:tplc="E1644D9C">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55337B"/>
    <w:multiLevelType w:val="hybridMultilevel"/>
    <w:tmpl w:val="5772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94EB8"/>
    <w:multiLevelType w:val="hybridMultilevel"/>
    <w:tmpl w:val="6680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162C5"/>
    <w:multiLevelType w:val="hybridMultilevel"/>
    <w:tmpl w:val="1BC8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473702"/>
    <w:multiLevelType w:val="hybridMultilevel"/>
    <w:tmpl w:val="EFA8C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C616E"/>
    <w:multiLevelType w:val="multilevel"/>
    <w:tmpl w:val="F46C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1319B"/>
    <w:multiLevelType w:val="multilevel"/>
    <w:tmpl w:val="6B6E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F317BA"/>
    <w:multiLevelType w:val="multilevel"/>
    <w:tmpl w:val="E750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926308"/>
    <w:multiLevelType w:val="multilevel"/>
    <w:tmpl w:val="D56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7C7D2C"/>
    <w:multiLevelType w:val="hybridMultilevel"/>
    <w:tmpl w:val="DD70C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751B66"/>
    <w:multiLevelType w:val="hybridMultilevel"/>
    <w:tmpl w:val="8C76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2A1979"/>
    <w:multiLevelType w:val="hybridMultilevel"/>
    <w:tmpl w:val="EF62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7117E"/>
    <w:multiLevelType w:val="multilevel"/>
    <w:tmpl w:val="863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F76036"/>
    <w:multiLevelType w:val="multilevel"/>
    <w:tmpl w:val="86C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550582">
    <w:abstractNumId w:val="9"/>
  </w:num>
  <w:num w:numId="2" w16cid:durableId="670303074">
    <w:abstractNumId w:val="7"/>
  </w:num>
  <w:num w:numId="3" w16cid:durableId="2058779972">
    <w:abstractNumId w:val="9"/>
  </w:num>
  <w:num w:numId="4" w16cid:durableId="571962158">
    <w:abstractNumId w:val="3"/>
  </w:num>
  <w:num w:numId="5" w16cid:durableId="1194460358">
    <w:abstractNumId w:val="3"/>
  </w:num>
  <w:num w:numId="6" w16cid:durableId="1846091829">
    <w:abstractNumId w:val="6"/>
  </w:num>
  <w:num w:numId="7" w16cid:durableId="172185231">
    <w:abstractNumId w:val="12"/>
  </w:num>
  <w:num w:numId="8" w16cid:durableId="888152510">
    <w:abstractNumId w:val="13"/>
  </w:num>
  <w:num w:numId="9" w16cid:durableId="1587575314">
    <w:abstractNumId w:val="8"/>
  </w:num>
  <w:num w:numId="10" w16cid:durableId="2020428255">
    <w:abstractNumId w:val="5"/>
  </w:num>
  <w:num w:numId="11" w16cid:durableId="2130472917">
    <w:abstractNumId w:val="1"/>
  </w:num>
  <w:num w:numId="12" w16cid:durableId="1671256212">
    <w:abstractNumId w:val="0"/>
  </w:num>
  <w:num w:numId="13" w16cid:durableId="667249359">
    <w:abstractNumId w:val="10"/>
  </w:num>
  <w:num w:numId="14" w16cid:durableId="1422025495">
    <w:abstractNumId w:val="2"/>
  </w:num>
  <w:num w:numId="15" w16cid:durableId="338429778">
    <w:abstractNumId w:val="4"/>
  </w:num>
  <w:num w:numId="16" w16cid:durableId="1423064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03"/>
    <w:rsid w:val="00011E6D"/>
    <w:rsid w:val="00051558"/>
    <w:rsid w:val="000622A4"/>
    <w:rsid w:val="000745E5"/>
    <w:rsid w:val="00075400"/>
    <w:rsid w:val="000D54D6"/>
    <w:rsid w:val="000E6023"/>
    <w:rsid w:val="000F3DC9"/>
    <w:rsid w:val="001108F8"/>
    <w:rsid w:val="00112A3A"/>
    <w:rsid w:val="001931EC"/>
    <w:rsid w:val="001F37F1"/>
    <w:rsid w:val="00256612"/>
    <w:rsid w:val="00297FE2"/>
    <w:rsid w:val="002A7EFC"/>
    <w:rsid w:val="002D4C1B"/>
    <w:rsid w:val="002E72B6"/>
    <w:rsid w:val="002F4C59"/>
    <w:rsid w:val="00314C4C"/>
    <w:rsid w:val="003211A5"/>
    <w:rsid w:val="00322E74"/>
    <w:rsid w:val="0032380F"/>
    <w:rsid w:val="00326E05"/>
    <w:rsid w:val="0033495A"/>
    <w:rsid w:val="00344504"/>
    <w:rsid w:val="00380E25"/>
    <w:rsid w:val="00391AAB"/>
    <w:rsid w:val="003A0D83"/>
    <w:rsid w:val="003B4108"/>
    <w:rsid w:val="003E2BB5"/>
    <w:rsid w:val="00414A44"/>
    <w:rsid w:val="00417D86"/>
    <w:rsid w:val="00433899"/>
    <w:rsid w:val="00440875"/>
    <w:rsid w:val="004C4719"/>
    <w:rsid w:val="004D232F"/>
    <w:rsid w:val="004D3E7D"/>
    <w:rsid w:val="0050495E"/>
    <w:rsid w:val="00594B07"/>
    <w:rsid w:val="005A00E4"/>
    <w:rsid w:val="005A6FF9"/>
    <w:rsid w:val="00637918"/>
    <w:rsid w:val="00655676"/>
    <w:rsid w:val="00670369"/>
    <w:rsid w:val="006F2AF3"/>
    <w:rsid w:val="00754601"/>
    <w:rsid w:val="007B7A6F"/>
    <w:rsid w:val="007D0436"/>
    <w:rsid w:val="007D0671"/>
    <w:rsid w:val="007D0D53"/>
    <w:rsid w:val="007E675B"/>
    <w:rsid w:val="007F53D8"/>
    <w:rsid w:val="00835E6A"/>
    <w:rsid w:val="008442B4"/>
    <w:rsid w:val="00862043"/>
    <w:rsid w:val="008A08F9"/>
    <w:rsid w:val="008B602B"/>
    <w:rsid w:val="008C4D14"/>
    <w:rsid w:val="009460D2"/>
    <w:rsid w:val="009515D1"/>
    <w:rsid w:val="00984251"/>
    <w:rsid w:val="0099292B"/>
    <w:rsid w:val="009B0935"/>
    <w:rsid w:val="009B5833"/>
    <w:rsid w:val="009C5268"/>
    <w:rsid w:val="009C7717"/>
    <w:rsid w:val="00A0414A"/>
    <w:rsid w:val="00A13E7C"/>
    <w:rsid w:val="00A328DF"/>
    <w:rsid w:val="00A35D24"/>
    <w:rsid w:val="00A7102F"/>
    <w:rsid w:val="00A820EC"/>
    <w:rsid w:val="00AB1E66"/>
    <w:rsid w:val="00AB226C"/>
    <w:rsid w:val="00AC0D1D"/>
    <w:rsid w:val="00AD2773"/>
    <w:rsid w:val="00AD3632"/>
    <w:rsid w:val="00B230A2"/>
    <w:rsid w:val="00B42105"/>
    <w:rsid w:val="00B67929"/>
    <w:rsid w:val="00BB2000"/>
    <w:rsid w:val="00C1051E"/>
    <w:rsid w:val="00C21F1A"/>
    <w:rsid w:val="00C44ABC"/>
    <w:rsid w:val="00C452A6"/>
    <w:rsid w:val="00C52176"/>
    <w:rsid w:val="00C72BB2"/>
    <w:rsid w:val="00CD2A4A"/>
    <w:rsid w:val="00CD3B03"/>
    <w:rsid w:val="00CD59D9"/>
    <w:rsid w:val="00CF62BF"/>
    <w:rsid w:val="00D079E1"/>
    <w:rsid w:val="00D07FC6"/>
    <w:rsid w:val="00D31F51"/>
    <w:rsid w:val="00D710FC"/>
    <w:rsid w:val="00DA20B9"/>
    <w:rsid w:val="00DA5D98"/>
    <w:rsid w:val="00DD49FE"/>
    <w:rsid w:val="00E219C0"/>
    <w:rsid w:val="00E86C21"/>
    <w:rsid w:val="00E927C8"/>
    <w:rsid w:val="00ED0B9F"/>
    <w:rsid w:val="00ED3EDB"/>
    <w:rsid w:val="00F128E2"/>
    <w:rsid w:val="00F37B0C"/>
    <w:rsid w:val="00F62641"/>
    <w:rsid w:val="00F94E92"/>
    <w:rsid w:val="00FA7074"/>
    <w:rsid w:val="00FB1723"/>
    <w:rsid w:val="00FC2E8F"/>
    <w:rsid w:val="00FD3B6F"/>
    <w:rsid w:val="2654E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F0F7"/>
  <w15:docId w15:val="{E1E65FC1-0876-4F96-A96E-A964FE59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E05"/>
    <w:pPr>
      <w:ind w:left="720"/>
      <w:contextualSpacing/>
    </w:pPr>
  </w:style>
  <w:style w:type="character" w:styleId="Hyperlink">
    <w:name w:val="Hyperlink"/>
    <w:basedOn w:val="DefaultParagraphFont"/>
    <w:uiPriority w:val="99"/>
    <w:semiHidden/>
    <w:unhideWhenUsed/>
    <w:rsid w:val="00984251"/>
    <w:rPr>
      <w:color w:val="0563C1" w:themeColor="hyperlink"/>
      <w:u w:val="single"/>
    </w:rPr>
  </w:style>
  <w:style w:type="paragraph" w:styleId="NormalWeb">
    <w:name w:val="Normal (Web)"/>
    <w:basedOn w:val="Normal"/>
    <w:uiPriority w:val="99"/>
    <w:unhideWhenUsed/>
    <w:rsid w:val="00ED3E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42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235">
      <w:bodyDiv w:val="1"/>
      <w:marLeft w:val="0"/>
      <w:marRight w:val="0"/>
      <w:marTop w:val="0"/>
      <w:marBottom w:val="0"/>
      <w:divBdr>
        <w:top w:val="none" w:sz="0" w:space="0" w:color="auto"/>
        <w:left w:val="none" w:sz="0" w:space="0" w:color="auto"/>
        <w:bottom w:val="none" w:sz="0" w:space="0" w:color="auto"/>
        <w:right w:val="none" w:sz="0" w:space="0" w:color="auto"/>
      </w:divBdr>
    </w:div>
    <w:div w:id="217209438">
      <w:bodyDiv w:val="1"/>
      <w:marLeft w:val="0"/>
      <w:marRight w:val="0"/>
      <w:marTop w:val="0"/>
      <w:marBottom w:val="0"/>
      <w:divBdr>
        <w:top w:val="none" w:sz="0" w:space="0" w:color="auto"/>
        <w:left w:val="none" w:sz="0" w:space="0" w:color="auto"/>
        <w:bottom w:val="none" w:sz="0" w:space="0" w:color="auto"/>
        <w:right w:val="none" w:sz="0" w:space="0" w:color="auto"/>
      </w:divBdr>
    </w:div>
    <w:div w:id="494885063">
      <w:bodyDiv w:val="1"/>
      <w:marLeft w:val="0"/>
      <w:marRight w:val="0"/>
      <w:marTop w:val="0"/>
      <w:marBottom w:val="0"/>
      <w:divBdr>
        <w:top w:val="none" w:sz="0" w:space="0" w:color="auto"/>
        <w:left w:val="none" w:sz="0" w:space="0" w:color="auto"/>
        <w:bottom w:val="none" w:sz="0" w:space="0" w:color="auto"/>
        <w:right w:val="none" w:sz="0" w:space="0" w:color="auto"/>
      </w:divBdr>
    </w:div>
    <w:div w:id="2002463606">
      <w:bodyDiv w:val="1"/>
      <w:marLeft w:val="0"/>
      <w:marRight w:val="0"/>
      <w:marTop w:val="0"/>
      <w:marBottom w:val="0"/>
      <w:divBdr>
        <w:top w:val="none" w:sz="0" w:space="0" w:color="auto"/>
        <w:left w:val="none" w:sz="0" w:space="0" w:color="auto"/>
        <w:bottom w:val="none" w:sz="0" w:space="0" w:color="auto"/>
        <w:right w:val="none" w:sz="0" w:space="0" w:color="auto"/>
      </w:divBdr>
    </w:div>
    <w:div w:id="2106461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8DC6723986F94D97DE2DD4A378F2DA" ma:contentTypeVersion="6" ma:contentTypeDescription="Create a new document." ma:contentTypeScope="" ma:versionID="1a69c9d7d328a333511aa1f292f1ae71">
  <xsd:schema xmlns:xsd="http://www.w3.org/2001/XMLSchema" xmlns:xs="http://www.w3.org/2001/XMLSchema" xmlns:p="http://schemas.microsoft.com/office/2006/metadata/properties" xmlns:ns2="a0decb52-27e4-4273-9866-16cb8e454d01" xmlns:ns3="fa483815-5c94-48ca-afae-d043fd41e51a" targetNamespace="http://schemas.microsoft.com/office/2006/metadata/properties" ma:root="true" ma:fieldsID="03d72b95b1ae146a5f3e03f3613e9045" ns2:_="" ns3:_="">
    <xsd:import namespace="a0decb52-27e4-4273-9866-16cb8e454d01"/>
    <xsd:import namespace="fa483815-5c94-48ca-afae-d043fd41e5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cb52-27e4-4273-9866-16cb8e454d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83815-5c94-48ca-afae-d043fd41e5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decb52-27e4-4273-9866-16cb8e454d01">
      <UserInfo>
        <DisplayName>Hannah Buxton</DisplayName>
        <AccountId>11</AccountId>
        <AccountType/>
      </UserInfo>
      <UserInfo>
        <DisplayName>Vikki Shearing</DisplayName>
        <AccountId>21</AccountId>
        <AccountType/>
      </UserInfo>
      <UserInfo>
        <DisplayName>Lisa Smith</DisplayName>
        <AccountId>10</AccountId>
        <AccountType/>
      </UserInfo>
    </SharedWithUsers>
  </documentManagement>
</p:properties>
</file>

<file path=customXml/itemProps1.xml><?xml version="1.0" encoding="utf-8"?>
<ds:datastoreItem xmlns:ds="http://schemas.openxmlformats.org/officeDocument/2006/customXml" ds:itemID="{4D210BEB-E6BE-4AC8-95CC-E13ADB743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ecb52-27e4-4273-9866-16cb8e454d01"/>
    <ds:schemaRef ds:uri="fa483815-5c94-48ca-afae-d043fd41e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074EB-117F-4660-B082-6F3F27D10DEB}">
  <ds:schemaRefs>
    <ds:schemaRef ds:uri="http://schemas.microsoft.com/sharepoint/v3/contenttype/forms"/>
  </ds:schemaRefs>
</ds:datastoreItem>
</file>

<file path=customXml/itemProps3.xml><?xml version="1.0" encoding="utf-8"?>
<ds:datastoreItem xmlns:ds="http://schemas.openxmlformats.org/officeDocument/2006/customXml" ds:itemID="{359EFB4B-4165-4BE2-ADBE-46252A904B2C}">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a0decb52-27e4-4273-9866-16cb8e454d01"/>
    <ds:schemaRef ds:uri="fa483815-5c94-48ca-afae-d043fd41e51a"/>
    <ds:schemaRef ds:uri="http://schemas.microsoft.com/office/infopath/2007/PartnerControl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Tonya Saben</cp:lastModifiedBy>
  <cp:revision>2</cp:revision>
  <dcterms:created xsi:type="dcterms:W3CDTF">2022-05-10T14:53:00Z</dcterms:created>
  <dcterms:modified xsi:type="dcterms:W3CDTF">2022-05-10T14:53:00Z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0x0101009B8DC6723986F94D97DE2DD4A378F2DA</vt:lpwstr>
  </property>
  <property fmtid="{D5CDD505-2E9C-101B-9397-08002B2CF9AE}" pid="3" name="Order">
    <vt:r8>74800</vt:r8>
  </property>
</Properties>
</file>